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12D23" w14:textId="77777777" w:rsidR="008F3285" w:rsidRPr="000D04A6" w:rsidRDefault="008F3285" w:rsidP="000D04A6">
      <w:pPr>
        <w:ind w:left="567" w:firstLine="426"/>
        <w:rPr>
          <w:b/>
          <w:sz w:val="20"/>
          <w:szCs w:val="20"/>
        </w:rPr>
      </w:pPr>
    </w:p>
    <w:p w14:paraId="7F8D8422" w14:textId="77777777" w:rsidR="008F3285" w:rsidRPr="000D04A6" w:rsidRDefault="008F3285" w:rsidP="000D04A6">
      <w:pPr>
        <w:ind w:left="567" w:firstLine="426"/>
        <w:jc w:val="center"/>
        <w:rPr>
          <w:b/>
          <w:sz w:val="20"/>
          <w:szCs w:val="20"/>
        </w:rPr>
      </w:pPr>
    </w:p>
    <w:p w14:paraId="3C95225F" w14:textId="77777777" w:rsidR="00103331" w:rsidRDefault="00103331" w:rsidP="00746E29">
      <w:pPr>
        <w:ind w:left="567" w:firstLine="426"/>
        <w:jc w:val="center"/>
        <w:rPr>
          <w:b/>
          <w:i/>
          <w:lang w:val="ro-MD"/>
        </w:rPr>
      </w:pPr>
    </w:p>
    <w:p w14:paraId="013EEBB1" w14:textId="77777777" w:rsidR="00103331" w:rsidRDefault="00103331" w:rsidP="00746E29">
      <w:pPr>
        <w:ind w:left="567" w:firstLine="426"/>
        <w:jc w:val="center"/>
        <w:rPr>
          <w:b/>
          <w:i/>
          <w:lang w:val="ro-MD"/>
        </w:rPr>
      </w:pPr>
    </w:p>
    <w:p w14:paraId="7313062F" w14:textId="405468A2" w:rsidR="008F3285" w:rsidRPr="00E45EEE" w:rsidRDefault="00095029" w:rsidP="00746E29">
      <w:pPr>
        <w:ind w:left="567" w:firstLine="426"/>
        <w:jc w:val="center"/>
        <w:rPr>
          <w:b/>
          <w:i/>
          <w:lang w:val="ro-MD"/>
        </w:rPr>
      </w:pPr>
      <w:r w:rsidRPr="00E45EEE">
        <w:rPr>
          <w:b/>
          <w:i/>
          <w:lang w:val="ro-MD"/>
        </w:rPr>
        <w:t>Sinteza obiecțiilor și propunerilor</w:t>
      </w:r>
      <w:r w:rsidR="0031219F" w:rsidRPr="00E45EEE">
        <w:rPr>
          <w:b/>
          <w:i/>
          <w:lang w:val="ro-MD"/>
        </w:rPr>
        <w:t xml:space="preserve"> prezentate de către </w:t>
      </w:r>
      <w:proofErr w:type="spellStart"/>
      <w:r w:rsidR="0031219F" w:rsidRPr="00E45EEE">
        <w:rPr>
          <w:b/>
          <w:i/>
          <w:lang w:val="ro-MD"/>
        </w:rPr>
        <w:t>părţile</w:t>
      </w:r>
      <w:proofErr w:type="spellEnd"/>
      <w:r w:rsidR="0031219F" w:rsidRPr="00E45EEE">
        <w:rPr>
          <w:b/>
          <w:i/>
          <w:lang w:val="ro-MD"/>
        </w:rPr>
        <w:t xml:space="preserve"> interesate</w:t>
      </w:r>
      <w:r w:rsidRPr="00E45EEE">
        <w:rPr>
          <w:b/>
          <w:i/>
          <w:lang w:val="ro-MD"/>
        </w:rPr>
        <w:t xml:space="preserve"> la proiectul</w:t>
      </w:r>
    </w:p>
    <w:p w14:paraId="5FC18AD0" w14:textId="1EF742D4" w:rsidR="00AF7569" w:rsidRPr="00E45EEE" w:rsidRDefault="00095029" w:rsidP="00AF7569">
      <w:pPr>
        <w:jc w:val="center"/>
        <w:rPr>
          <w:b/>
          <w:bCs/>
          <w:i/>
          <w:lang w:val="ro-RO"/>
        </w:rPr>
      </w:pPr>
      <w:r w:rsidRPr="00E45EEE">
        <w:rPr>
          <w:b/>
          <w:i/>
          <w:lang w:val="ro-MD"/>
        </w:rPr>
        <w:t xml:space="preserve">Hotărârii ANRE cu privire </w:t>
      </w:r>
      <w:r w:rsidR="00746E29" w:rsidRPr="00E45EEE">
        <w:rPr>
          <w:b/>
          <w:i/>
          <w:color w:val="000000"/>
          <w:lang w:val="ro-MD"/>
        </w:rPr>
        <w:t xml:space="preserve">la modificarea </w:t>
      </w:r>
      <w:r w:rsidR="00AF7569" w:rsidRPr="00E45EEE">
        <w:rPr>
          <w:b/>
          <w:bCs/>
          <w:i/>
          <w:lang w:val="ro-RO"/>
        </w:rPr>
        <w:t xml:space="preserve">Hotărârii ANRE nr. 272/2025 </w:t>
      </w:r>
    </w:p>
    <w:p w14:paraId="46A4D57A" w14:textId="77777777" w:rsidR="008F3285" w:rsidRPr="00E45EEE" w:rsidRDefault="008F3285" w:rsidP="000D04A6">
      <w:pPr>
        <w:tabs>
          <w:tab w:val="left" w:pos="3261"/>
          <w:tab w:val="left" w:pos="3828"/>
        </w:tabs>
        <w:jc w:val="center"/>
        <w:rPr>
          <w:b/>
          <w:sz w:val="20"/>
          <w:szCs w:val="20"/>
          <w:lang w:val="ro-MD"/>
        </w:rPr>
      </w:pPr>
    </w:p>
    <w:tbl>
      <w:tblPr>
        <w:tblStyle w:val="a"/>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562"/>
        <w:gridCol w:w="1985"/>
        <w:gridCol w:w="3302"/>
        <w:gridCol w:w="6479"/>
        <w:gridCol w:w="2268"/>
      </w:tblGrid>
      <w:tr w:rsidR="000D04A6" w:rsidRPr="00F76DF9" w14:paraId="6957554C" w14:textId="77777777" w:rsidTr="00103331">
        <w:trPr>
          <w:trHeight w:val="704"/>
        </w:trPr>
        <w:tc>
          <w:tcPr>
            <w:tcW w:w="562" w:type="dxa"/>
            <w:vAlign w:val="center"/>
          </w:tcPr>
          <w:p w14:paraId="3C9E7CCA" w14:textId="77777777" w:rsidR="008F3285" w:rsidRPr="00F76DF9" w:rsidRDefault="00095029" w:rsidP="000D04A6">
            <w:pPr>
              <w:jc w:val="center"/>
              <w:rPr>
                <w:b/>
                <w:sz w:val="20"/>
                <w:szCs w:val="20"/>
                <w:lang w:val="ro-MD"/>
              </w:rPr>
            </w:pPr>
            <w:r w:rsidRPr="00F76DF9">
              <w:rPr>
                <w:b/>
                <w:sz w:val="20"/>
                <w:szCs w:val="20"/>
                <w:lang w:val="ro-MD"/>
              </w:rPr>
              <w:t>Pct.</w:t>
            </w:r>
          </w:p>
        </w:tc>
        <w:tc>
          <w:tcPr>
            <w:tcW w:w="1985" w:type="dxa"/>
            <w:vAlign w:val="center"/>
          </w:tcPr>
          <w:p w14:paraId="27263890" w14:textId="77777777" w:rsidR="008F3285" w:rsidRPr="00F76DF9" w:rsidRDefault="00095029" w:rsidP="000D04A6">
            <w:pPr>
              <w:jc w:val="center"/>
              <w:rPr>
                <w:b/>
                <w:sz w:val="20"/>
                <w:szCs w:val="20"/>
                <w:lang w:val="ro-MD"/>
              </w:rPr>
            </w:pPr>
            <w:r w:rsidRPr="00F76DF9">
              <w:rPr>
                <w:b/>
                <w:sz w:val="20"/>
                <w:szCs w:val="20"/>
                <w:lang w:val="ro-MD"/>
              </w:rPr>
              <w:t>Participantul la avizare/ expertizare</w:t>
            </w:r>
          </w:p>
        </w:tc>
        <w:tc>
          <w:tcPr>
            <w:tcW w:w="3302" w:type="dxa"/>
            <w:vAlign w:val="center"/>
          </w:tcPr>
          <w:p w14:paraId="0054A45D" w14:textId="77777777" w:rsidR="008F3285" w:rsidRPr="00F76DF9" w:rsidRDefault="00095029" w:rsidP="000D04A6">
            <w:pPr>
              <w:jc w:val="center"/>
              <w:rPr>
                <w:b/>
                <w:sz w:val="20"/>
                <w:szCs w:val="20"/>
                <w:lang w:val="ro-MD"/>
              </w:rPr>
            </w:pPr>
            <w:r w:rsidRPr="00F76DF9">
              <w:rPr>
                <w:b/>
                <w:sz w:val="20"/>
                <w:szCs w:val="20"/>
                <w:lang w:val="ro-MD"/>
              </w:rPr>
              <w:t>Text conform proiectului</w:t>
            </w:r>
          </w:p>
        </w:tc>
        <w:tc>
          <w:tcPr>
            <w:tcW w:w="6479" w:type="dxa"/>
            <w:vAlign w:val="center"/>
          </w:tcPr>
          <w:p w14:paraId="4A32322A" w14:textId="77777777" w:rsidR="008F3285" w:rsidRPr="00F76DF9" w:rsidRDefault="00095029" w:rsidP="000D04A6">
            <w:pPr>
              <w:jc w:val="center"/>
              <w:rPr>
                <w:b/>
                <w:sz w:val="20"/>
                <w:szCs w:val="20"/>
                <w:lang w:val="ro-MD"/>
              </w:rPr>
            </w:pPr>
            <w:proofErr w:type="spellStart"/>
            <w:r w:rsidRPr="00F76DF9">
              <w:rPr>
                <w:b/>
                <w:sz w:val="20"/>
                <w:szCs w:val="20"/>
                <w:lang w:val="ro-MD"/>
              </w:rPr>
              <w:t>Redacţia</w:t>
            </w:r>
            <w:proofErr w:type="spellEnd"/>
            <w:r w:rsidRPr="00F76DF9">
              <w:rPr>
                <w:b/>
                <w:sz w:val="20"/>
                <w:szCs w:val="20"/>
                <w:lang w:val="ro-MD"/>
              </w:rPr>
              <w:t xml:space="preserve"> propusă de </w:t>
            </w:r>
            <w:proofErr w:type="spellStart"/>
            <w:r w:rsidRPr="00F76DF9">
              <w:rPr>
                <w:b/>
                <w:sz w:val="20"/>
                <w:szCs w:val="20"/>
                <w:lang w:val="ro-MD"/>
              </w:rPr>
              <w:t>instituţia</w:t>
            </w:r>
            <w:proofErr w:type="spellEnd"/>
            <w:r w:rsidRPr="00F76DF9">
              <w:rPr>
                <w:b/>
                <w:sz w:val="20"/>
                <w:szCs w:val="20"/>
                <w:lang w:val="ro-MD"/>
              </w:rPr>
              <w:t xml:space="preserve"> care a prezentat avizul</w:t>
            </w:r>
          </w:p>
        </w:tc>
        <w:tc>
          <w:tcPr>
            <w:tcW w:w="2268" w:type="dxa"/>
            <w:vAlign w:val="center"/>
          </w:tcPr>
          <w:p w14:paraId="02BB5FD0" w14:textId="77777777" w:rsidR="008F3285" w:rsidRPr="00F76DF9" w:rsidRDefault="00095029" w:rsidP="000D04A6">
            <w:pPr>
              <w:jc w:val="center"/>
              <w:rPr>
                <w:b/>
                <w:sz w:val="20"/>
                <w:szCs w:val="20"/>
                <w:lang w:val="ro-MD"/>
              </w:rPr>
            </w:pPr>
            <w:r w:rsidRPr="00F76DF9">
              <w:rPr>
                <w:b/>
                <w:sz w:val="20"/>
                <w:szCs w:val="20"/>
                <w:lang w:val="ro-MD"/>
              </w:rPr>
              <w:t>Argumentele privind acceptarea sau respingerea propunerii</w:t>
            </w:r>
          </w:p>
        </w:tc>
      </w:tr>
      <w:tr w:rsidR="00103331" w:rsidRPr="00F76DF9" w14:paraId="46B362EF" w14:textId="77777777" w:rsidTr="00261B8C">
        <w:trPr>
          <w:trHeight w:val="704"/>
        </w:trPr>
        <w:tc>
          <w:tcPr>
            <w:tcW w:w="562" w:type="dxa"/>
            <w:vAlign w:val="center"/>
          </w:tcPr>
          <w:p w14:paraId="49AAB6D3" w14:textId="77777777" w:rsidR="00103331" w:rsidRPr="00F76DF9" w:rsidRDefault="00103331" w:rsidP="00103331">
            <w:pPr>
              <w:jc w:val="center"/>
              <w:rPr>
                <w:b/>
                <w:sz w:val="20"/>
                <w:szCs w:val="20"/>
                <w:lang w:val="ro-MD"/>
              </w:rPr>
            </w:pPr>
          </w:p>
        </w:tc>
        <w:tc>
          <w:tcPr>
            <w:tcW w:w="1985" w:type="dxa"/>
          </w:tcPr>
          <w:p w14:paraId="542870F7" w14:textId="77777777" w:rsidR="00103331" w:rsidRDefault="00103331" w:rsidP="006D5B67">
            <w:pPr>
              <w:rPr>
                <w:sz w:val="20"/>
                <w:szCs w:val="20"/>
              </w:rPr>
            </w:pPr>
            <w:r>
              <w:rPr>
                <w:sz w:val="20"/>
                <w:szCs w:val="20"/>
              </w:rPr>
              <w:t xml:space="preserve">Ministerul Energiei </w:t>
            </w:r>
          </w:p>
          <w:p w14:paraId="3534888E" w14:textId="0BB39622" w:rsidR="00103331" w:rsidRPr="00F76DF9" w:rsidRDefault="00103331" w:rsidP="006D5B67">
            <w:pPr>
              <w:rPr>
                <w:b/>
                <w:sz w:val="20"/>
                <w:szCs w:val="20"/>
                <w:lang w:val="ro-MD"/>
              </w:rPr>
            </w:pPr>
            <w:r>
              <w:rPr>
                <w:sz w:val="20"/>
                <w:szCs w:val="20"/>
              </w:rPr>
              <w:t>a</w:t>
            </w:r>
            <w:r w:rsidRPr="00BA5258">
              <w:rPr>
                <w:sz w:val="20"/>
                <w:szCs w:val="20"/>
              </w:rPr>
              <w:t>viz nr.</w:t>
            </w:r>
            <w:r>
              <w:rPr>
                <w:sz w:val="20"/>
                <w:szCs w:val="20"/>
              </w:rPr>
              <w:t>07-2652 din 13.10.2025</w:t>
            </w:r>
          </w:p>
        </w:tc>
        <w:tc>
          <w:tcPr>
            <w:tcW w:w="9781" w:type="dxa"/>
            <w:gridSpan w:val="2"/>
          </w:tcPr>
          <w:p w14:paraId="0E12CC25" w14:textId="2D22A4FB" w:rsidR="00103331" w:rsidRPr="00F76DF9" w:rsidRDefault="00103331" w:rsidP="00261B8C">
            <w:pPr>
              <w:rPr>
                <w:b/>
                <w:sz w:val="20"/>
                <w:szCs w:val="20"/>
                <w:lang w:val="ro-MD"/>
              </w:rPr>
            </w:pPr>
            <w:r w:rsidRPr="00935DEA">
              <w:rPr>
                <w:sz w:val="20"/>
                <w:szCs w:val="20"/>
              </w:rPr>
              <w:t>Susține integral proiectul fără obiecții sau propuneri</w:t>
            </w:r>
          </w:p>
        </w:tc>
        <w:tc>
          <w:tcPr>
            <w:tcW w:w="2268" w:type="dxa"/>
          </w:tcPr>
          <w:p w14:paraId="022E565A" w14:textId="4D46344E" w:rsidR="00103331" w:rsidRPr="00F76DF9" w:rsidRDefault="00103331" w:rsidP="00D7766E">
            <w:pPr>
              <w:rPr>
                <w:b/>
                <w:sz w:val="20"/>
                <w:szCs w:val="20"/>
                <w:lang w:val="ro-MD"/>
              </w:rPr>
            </w:pPr>
            <w:r>
              <w:rPr>
                <w:b/>
                <w:sz w:val="20"/>
                <w:szCs w:val="20"/>
              </w:rPr>
              <w:t>Se acceptă</w:t>
            </w:r>
          </w:p>
        </w:tc>
      </w:tr>
      <w:tr w:rsidR="00435CAB" w:rsidRPr="00F76DF9" w14:paraId="7850ACE1" w14:textId="77777777" w:rsidTr="00261B8C">
        <w:trPr>
          <w:trHeight w:val="704"/>
        </w:trPr>
        <w:tc>
          <w:tcPr>
            <w:tcW w:w="562" w:type="dxa"/>
            <w:vAlign w:val="center"/>
          </w:tcPr>
          <w:p w14:paraId="06A8542A" w14:textId="77777777" w:rsidR="00435CAB" w:rsidRPr="00F76DF9" w:rsidRDefault="00435CAB" w:rsidP="00435CAB">
            <w:pPr>
              <w:jc w:val="center"/>
              <w:rPr>
                <w:b/>
                <w:sz w:val="20"/>
                <w:szCs w:val="20"/>
                <w:lang w:val="ro-MD"/>
              </w:rPr>
            </w:pPr>
          </w:p>
        </w:tc>
        <w:tc>
          <w:tcPr>
            <w:tcW w:w="1985" w:type="dxa"/>
          </w:tcPr>
          <w:p w14:paraId="4DB9CEF6" w14:textId="77777777" w:rsidR="00435CAB" w:rsidRDefault="00435CAB" w:rsidP="00435CAB">
            <w:pPr>
              <w:rPr>
                <w:sz w:val="20"/>
                <w:szCs w:val="20"/>
              </w:rPr>
            </w:pPr>
            <w:r>
              <w:rPr>
                <w:sz w:val="20"/>
                <w:szCs w:val="20"/>
              </w:rPr>
              <w:t>Consiliul Concurenței</w:t>
            </w:r>
          </w:p>
          <w:p w14:paraId="02B19339" w14:textId="6C45A076" w:rsidR="00435CAB" w:rsidRDefault="00435CAB" w:rsidP="00435CAB">
            <w:pPr>
              <w:rPr>
                <w:sz w:val="20"/>
                <w:szCs w:val="20"/>
              </w:rPr>
            </w:pPr>
            <w:r>
              <w:rPr>
                <w:sz w:val="20"/>
                <w:szCs w:val="20"/>
              </w:rPr>
              <w:t xml:space="preserve">aviz nr. DJ-06/699-1768 din 20.10.2025 </w:t>
            </w:r>
          </w:p>
        </w:tc>
        <w:tc>
          <w:tcPr>
            <w:tcW w:w="9781" w:type="dxa"/>
            <w:gridSpan w:val="2"/>
          </w:tcPr>
          <w:p w14:paraId="71699B84" w14:textId="4629BAB0" w:rsidR="00435CAB" w:rsidRPr="00935DEA" w:rsidRDefault="00435CAB" w:rsidP="00261B8C">
            <w:pPr>
              <w:rPr>
                <w:sz w:val="20"/>
                <w:szCs w:val="20"/>
              </w:rPr>
            </w:pPr>
            <w:r>
              <w:rPr>
                <w:sz w:val="20"/>
                <w:szCs w:val="20"/>
              </w:rPr>
              <w:t>Lipsa propunerilor sau obiecțiilor</w:t>
            </w:r>
          </w:p>
        </w:tc>
        <w:tc>
          <w:tcPr>
            <w:tcW w:w="2268" w:type="dxa"/>
          </w:tcPr>
          <w:p w14:paraId="7B7FFE6E" w14:textId="49EBDA76" w:rsidR="00435CAB" w:rsidRDefault="00435CAB" w:rsidP="00435CAB">
            <w:pPr>
              <w:rPr>
                <w:b/>
                <w:sz w:val="20"/>
                <w:szCs w:val="20"/>
              </w:rPr>
            </w:pPr>
            <w:r>
              <w:rPr>
                <w:b/>
                <w:sz w:val="20"/>
                <w:szCs w:val="20"/>
              </w:rPr>
              <w:t>Se acceptă</w:t>
            </w:r>
          </w:p>
        </w:tc>
      </w:tr>
      <w:tr w:rsidR="00435CAB" w:rsidRPr="00F76DF9" w14:paraId="4829587E" w14:textId="77777777" w:rsidTr="006D5B67">
        <w:trPr>
          <w:trHeight w:val="704"/>
        </w:trPr>
        <w:tc>
          <w:tcPr>
            <w:tcW w:w="562" w:type="dxa"/>
            <w:vAlign w:val="center"/>
          </w:tcPr>
          <w:p w14:paraId="16B72516" w14:textId="77777777" w:rsidR="00435CAB" w:rsidRPr="00F76DF9" w:rsidRDefault="00435CAB" w:rsidP="00435CAB">
            <w:pPr>
              <w:jc w:val="center"/>
              <w:rPr>
                <w:b/>
                <w:sz w:val="20"/>
                <w:szCs w:val="20"/>
                <w:lang w:val="ro-MD"/>
              </w:rPr>
            </w:pPr>
          </w:p>
        </w:tc>
        <w:tc>
          <w:tcPr>
            <w:tcW w:w="1985" w:type="dxa"/>
          </w:tcPr>
          <w:p w14:paraId="223D1BA6" w14:textId="6B18850F" w:rsidR="00435CAB" w:rsidRDefault="00435CAB" w:rsidP="00435CAB">
            <w:pPr>
              <w:rPr>
                <w:sz w:val="20"/>
                <w:szCs w:val="20"/>
                <w:lang w:val="ro-MD"/>
              </w:rPr>
            </w:pPr>
            <w:r>
              <w:rPr>
                <w:sz w:val="20"/>
                <w:szCs w:val="20"/>
                <w:lang w:val="ro-MD"/>
              </w:rPr>
              <w:t>ERU - Energy</w:t>
            </w:r>
          </w:p>
          <w:p w14:paraId="42F7B635" w14:textId="4A61EA02" w:rsidR="00435CAB" w:rsidRDefault="00435CAB" w:rsidP="00435CAB">
            <w:pPr>
              <w:rPr>
                <w:sz w:val="20"/>
                <w:szCs w:val="20"/>
                <w:lang w:val="ro-MD"/>
              </w:rPr>
            </w:pPr>
            <w:proofErr w:type="spellStart"/>
            <w:r>
              <w:rPr>
                <w:sz w:val="20"/>
                <w:szCs w:val="20"/>
                <w:lang w:val="ro-MD"/>
              </w:rPr>
              <w:t>Resources</w:t>
            </w:r>
            <w:proofErr w:type="spellEnd"/>
            <w:r>
              <w:rPr>
                <w:sz w:val="20"/>
                <w:szCs w:val="20"/>
                <w:lang w:val="ro-MD"/>
              </w:rPr>
              <w:t xml:space="preserve"> of UA</w:t>
            </w:r>
          </w:p>
          <w:p w14:paraId="0B166AC7" w14:textId="4237A8D5" w:rsidR="00435CAB" w:rsidRPr="006D5B67" w:rsidRDefault="00435CAB" w:rsidP="00435CAB">
            <w:pPr>
              <w:rPr>
                <w:i/>
                <w:sz w:val="20"/>
                <w:szCs w:val="20"/>
                <w:lang w:val="ro-MD"/>
              </w:rPr>
            </w:pPr>
            <w:proofErr w:type="spellStart"/>
            <w:r w:rsidRPr="006D5B67">
              <w:rPr>
                <w:i/>
                <w:sz w:val="20"/>
                <w:szCs w:val="20"/>
                <w:lang w:val="ro-MD"/>
              </w:rPr>
              <w:t>întregistrat</w:t>
            </w:r>
            <w:proofErr w:type="spellEnd"/>
            <w:r w:rsidRPr="006D5B67">
              <w:rPr>
                <w:i/>
                <w:sz w:val="20"/>
                <w:szCs w:val="20"/>
                <w:lang w:val="ro-MD"/>
              </w:rPr>
              <w:t xml:space="preserve"> la ANRE cu nr.  14653 din 06.10.2025</w:t>
            </w:r>
          </w:p>
        </w:tc>
        <w:tc>
          <w:tcPr>
            <w:tcW w:w="9781" w:type="dxa"/>
            <w:gridSpan w:val="2"/>
            <w:vAlign w:val="center"/>
          </w:tcPr>
          <w:p w14:paraId="7200E6D5" w14:textId="386CE240" w:rsidR="00435CAB" w:rsidRPr="00103331" w:rsidRDefault="00435CAB" w:rsidP="00435CAB">
            <w:pPr>
              <w:jc w:val="both"/>
              <w:rPr>
                <w:sz w:val="20"/>
                <w:szCs w:val="20"/>
                <w:lang w:val="ro-MD"/>
              </w:rPr>
            </w:pPr>
            <w:r w:rsidRPr="00103331">
              <w:rPr>
                <w:sz w:val="20"/>
                <w:szCs w:val="20"/>
                <w:lang w:val="ro-MD"/>
              </w:rPr>
              <w:t xml:space="preserve">În numele companiei ERU, și sunt convins, al multor altor </w:t>
            </w:r>
            <w:r>
              <w:rPr>
                <w:sz w:val="20"/>
                <w:szCs w:val="20"/>
                <w:lang w:val="ro-MD"/>
              </w:rPr>
              <w:t>utilizatori de sistem</w:t>
            </w:r>
            <w:r w:rsidRPr="00103331">
              <w:rPr>
                <w:sz w:val="20"/>
                <w:szCs w:val="20"/>
                <w:lang w:val="ro-MD"/>
              </w:rPr>
              <w:t xml:space="preserve"> (aici în cc:), aș dori să confirm sprijinul nostru pentru prelungirea produsului rutei de transport gaze către Ucraina și </w:t>
            </w:r>
            <w:r>
              <w:rPr>
                <w:sz w:val="20"/>
                <w:szCs w:val="20"/>
                <w:lang w:val="ro-MD"/>
              </w:rPr>
              <w:t>sus</w:t>
            </w:r>
            <w:r>
              <w:rPr>
                <w:sz w:val="20"/>
                <w:szCs w:val="20"/>
                <w:lang w:val="ro-RO"/>
              </w:rPr>
              <w:t>ținerea</w:t>
            </w:r>
            <w:r w:rsidRPr="00103331">
              <w:rPr>
                <w:sz w:val="20"/>
                <w:szCs w:val="20"/>
                <w:lang w:val="ro-MD"/>
              </w:rPr>
              <w:t xml:space="preserve"> </w:t>
            </w:r>
            <w:r>
              <w:rPr>
                <w:sz w:val="20"/>
                <w:szCs w:val="20"/>
                <w:lang w:val="ro-MD"/>
              </w:rPr>
              <w:t>declarațiilor</w:t>
            </w:r>
            <w:r w:rsidRPr="00103331">
              <w:rPr>
                <w:sz w:val="20"/>
                <w:szCs w:val="20"/>
                <w:lang w:val="ro-MD"/>
              </w:rPr>
              <w:t xml:space="preserve"> </w:t>
            </w:r>
            <w:proofErr w:type="spellStart"/>
            <w:r w:rsidRPr="00103331">
              <w:rPr>
                <w:sz w:val="20"/>
                <w:szCs w:val="20"/>
                <w:lang w:val="ro-MD"/>
              </w:rPr>
              <w:t>Bulgartransgaz</w:t>
            </w:r>
            <w:proofErr w:type="spellEnd"/>
            <w:r w:rsidRPr="00103331">
              <w:rPr>
                <w:sz w:val="20"/>
                <w:szCs w:val="20"/>
                <w:lang w:val="ro-MD"/>
              </w:rPr>
              <w:t xml:space="preserve">: </w:t>
            </w:r>
            <w:r w:rsidRPr="00D7766E">
              <w:rPr>
                <w:i/>
                <w:sz w:val="20"/>
                <w:szCs w:val="20"/>
                <w:lang w:val="ro-MD"/>
              </w:rPr>
              <w:t>https://bu Igartransgaz.bg/en/</w:t>
            </w:r>
            <w:proofErr w:type="spellStart"/>
            <w:r w:rsidRPr="00D7766E">
              <w:rPr>
                <w:i/>
                <w:sz w:val="20"/>
                <w:szCs w:val="20"/>
                <w:lang w:val="ro-MD"/>
              </w:rPr>
              <w:t>news</w:t>
            </w:r>
            <w:proofErr w:type="spellEnd"/>
            <w:r w:rsidRPr="00D7766E">
              <w:rPr>
                <w:i/>
                <w:sz w:val="20"/>
                <w:szCs w:val="20"/>
                <w:lang w:val="ro-MD"/>
              </w:rPr>
              <w:t>/</w:t>
            </w:r>
            <w:proofErr w:type="spellStart"/>
            <w:r w:rsidRPr="00D7766E">
              <w:rPr>
                <w:i/>
                <w:sz w:val="20"/>
                <w:szCs w:val="20"/>
                <w:lang w:val="ro-MD"/>
              </w:rPr>
              <w:t>bu</w:t>
            </w:r>
            <w:proofErr w:type="spellEnd"/>
            <w:r w:rsidRPr="00D7766E">
              <w:rPr>
                <w:i/>
                <w:sz w:val="20"/>
                <w:szCs w:val="20"/>
                <w:lang w:val="ro-MD"/>
              </w:rPr>
              <w:t xml:space="preserve"> I </w:t>
            </w:r>
            <w:proofErr w:type="spellStart"/>
            <w:r w:rsidRPr="00D7766E">
              <w:rPr>
                <w:i/>
                <w:sz w:val="20"/>
                <w:szCs w:val="20"/>
                <w:lang w:val="ro-MD"/>
              </w:rPr>
              <w:t>gartransgaz</w:t>
            </w:r>
            <w:proofErr w:type="spellEnd"/>
            <w:r w:rsidRPr="00D7766E">
              <w:rPr>
                <w:i/>
                <w:sz w:val="20"/>
                <w:szCs w:val="20"/>
                <w:lang w:val="ro-MD"/>
              </w:rPr>
              <w:t>-i-operatori-</w:t>
            </w:r>
            <w:proofErr w:type="spellStart"/>
            <w:r w:rsidRPr="00D7766E">
              <w:rPr>
                <w:i/>
                <w:sz w:val="20"/>
                <w:szCs w:val="20"/>
                <w:lang w:val="ro-MD"/>
              </w:rPr>
              <w:t>ot</w:t>
            </w:r>
            <w:proofErr w:type="spellEnd"/>
            <w:r w:rsidRPr="00D7766E">
              <w:rPr>
                <w:i/>
                <w:sz w:val="20"/>
                <w:szCs w:val="20"/>
                <w:lang w:val="ro-MD"/>
              </w:rPr>
              <w:t xml:space="preserve">-re </w:t>
            </w:r>
            <w:proofErr w:type="spellStart"/>
            <w:r w:rsidRPr="00D7766E">
              <w:rPr>
                <w:i/>
                <w:sz w:val="20"/>
                <w:szCs w:val="20"/>
                <w:lang w:val="ro-MD"/>
              </w:rPr>
              <w:t>giona</w:t>
            </w:r>
            <w:proofErr w:type="spellEnd"/>
            <w:r w:rsidRPr="00D7766E">
              <w:rPr>
                <w:i/>
                <w:sz w:val="20"/>
                <w:szCs w:val="20"/>
                <w:lang w:val="ro-MD"/>
              </w:rPr>
              <w:t>-pred lagat-udaljavane-do-kraya-na-gazovatagodina-2025-2026-na-marshrutniya-produkt-za-prenos-na-gaz-kam-ukraina-930.html</w:t>
            </w:r>
            <w:r>
              <w:rPr>
                <w:sz w:val="20"/>
                <w:szCs w:val="20"/>
                <w:lang w:val="ro-MD"/>
              </w:rPr>
              <w:t xml:space="preserve"> </w:t>
            </w:r>
          </w:p>
          <w:p w14:paraId="27A47B02" w14:textId="32B92358" w:rsidR="00435CAB" w:rsidRPr="00103331" w:rsidRDefault="00435CAB" w:rsidP="00435CAB">
            <w:pPr>
              <w:jc w:val="both"/>
              <w:rPr>
                <w:sz w:val="20"/>
                <w:szCs w:val="20"/>
                <w:lang w:val="ro-MD"/>
              </w:rPr>
            </w:pPr>
            <w:r>
              <w:rPr>
                <w:sz w:val="20"/>
                <w:szCs w:val="20"/>
                <w:lang w:val="ro-MD"/>
              </w:rPr>
              <w:t>La</w:t>
            </w:r>
            <w:r w:rsidRPr="00103331">
              <w:rPr>
                <w:sz w:val="20"/>
                <w:szCs w:val="20"/>
                <w:lang w:val="ro-MD"/>
              </w:rPr>
              <w:t xml:space="preserve"> întâlnire organizată de Ministerul Energiei din Republica Moldova acum două săptămâni pe tema acestui produs, toți participanții, printre care și transportatori majori activi pe rută, au recunoscut că produsul se bazează pe un spirit de solidaritate pentru a aproviziona Ucraina și Moldova cu gaze diversificate. Importanța sa este subliniată în mod clar de atacurile recente asupra infrastructurii de gaze din Ucraina, precum și de exemplele recente de diversificare a aprovizionării și a rutelor, cum ar fi tranzacția pe 10 ani semnată recent între MVM și </w:t>
            </w:r>
            <w:proofErr w:type="spellStart"/>
            <w:r w:rsidRPr="00103331">
              <w:rPr>
                <w:sz w:val="20"/>
                <w:szCs w:val="20"/>
                <w:lang w:val="ro-MD"/>
              </w:rPr>
              <w:t>Engie</w:t>
            </w:r>
            <w:proofErr w:type="spellEnd"/>
            <w:r w:rsidRPr="00103331">
              <w:rPr>
                <w:sz w:val="20"/>
                <w:szCs w:val="20"/>
                <w:lang w:val="ro-MD"/>
              </w:rPr>
              <w:t xml:space="preserve"> pentru ING de la terminalele Krk și germane către Ungaria.</w:t>
            </w:r>
          </w:p>
          <w:p w14:paraId="32259F87" w14:textId="035BF9D1" w:rsidR="00435CAB" w:rsidRPr="00103331" w:rsidRDefault="00435CAB" w:rsidP="00435CAB">
            <w:pPr>
              <w:jc w:val="both"/>
              <w:rPr>
                <w:sz w:val="20"/>
                <w:szCs w:val="20"/>
                <w:lang w:val="ro-MD"/>
              </w:rPr>
            </w:pPr>
            <w:r w:rsidRPr="00103331">
              <w:rPr>
                <w:sz w:val="20"/>
                <w:szCs w:val="20"/>
                <w:lang w:val="ro-MD"/>
              </w:rPr>
              <w:t xml:space="preserve">În discuțiile cu mulți alți </w:t>
            </w:r>
            <w:r>
              <w:rPr>
                <w:sz w:val="20"/>
                <w:szCs w:val="20"/>
                <w:lang w:val="ro-MD"/>
              </w:rPr>
              <w:t>utilizatori de sistem</w:t>
            </w:r>
            <w:r w:rsidRPr="00103331">
              <w:rPr>
                <w:sz w:val="20"/>
                <w:szCs w:val="20"/>
                <w:lang w:val="ro-MD"/>
              </w:rPr>
              <w:t xml:space="preserve"> și părți interesate, în special cei prezenți la reuniunea de la Chișinău, dar și la Forumul Comunității Energetice privind gazele, am observat o dorință puternică de a face ca această rută să funcționeze comercial și de a crea o piață UE/Comunitatea Energetică mai diversificată și competitivă. Dar, în loc de două granițe de la Germania la Ungaria, GNL-</w:t>
            </w:r>
            <w:proofErr w:type="spellStart"/>
            <w:r w:rsidRPr="00103331">
              <w:rPr>
                <w:sz w:val="20"/>
                <w:szCs w:val="20"/>
                <w:lang w:val="ro-MD"/>
              </w:rPr>
              <w:t>ul</w:t>
            </w:r>
            <w:proofErr w:type="spellEnd"/>
            <w:r w:rsidRPr="00103331">
              <w:rPr>
                <w:sz w:val="20"/>
                <w:szCs w:val="20"/>
                <w:lang w:val="ro-MD"/>
              </w:rPr>
              <w:t xml:space="preserve"> din Grecia trebuie să traverseze 4 granițe (ta</w:t>
            </w:r>
            <w:r>
              <w:rPr>
                <w:sz w:val="20"/>
                <w:szCs w:val="20"/>
                <w:lang w:val="ro-MD"/>
              </w:rPr>
              <w:t>rifare) pe o distanță similară.</w:t>
            </w:r>
          </w:p>
          <w:p w14:paraId="201C0368" w14:textId="224BB889" w:rsidR="00435CAB" w:rsidRPr="00103331" w:rsidRDefault="00435CAB" w:rsidP="00435CAB">
            <w:pPr>
              <w:jc w:val="both"/>
              <w:rPr>
                <w:sz w:val="20"/>
                <w:szCs w:val="20"/>
                <w:lang w:val="ro-MD"/>
              </w:rPr>
            </w:pPr>
            <w:r w:rsidRPr="00103331">
              <w:rPr>
                <w:sz w:val="20"/>
                <w:szCs w:val="20"/>
                <w:lang w:val="ro-MD"/>
              </w:rPr>
              <w:t xml:space="preserve">ERU, în calitate de principal </w:t>
            </w:r>
            <w:r>
              <w:rPr>
                <w:sz w:val="20"/>
                <w:szCs w:val="20"/>
                <w:lang w:val="ro-MD"/>
              </w:rPr>
              <w:t xml:space="preserve">utilizator de sistem </w:t>
            </w:r>
            <w:r w:rsidRPr="00103331">
              <w:rPr>
                <w:sz w:val="20"/>
                <w:szCs w:val="20"/>
                <w:lang w:val="ro-MD"/>
              </w:rPr>
              <w:t>pe rut</w:t>
            </w:r>
            <w:r>
              <w:rPr>
                <w:sz w:val="20"/>
                <w:szCs w:val="20"/>
                <w:lang w:val="ro-MD"/>
              </w:rPr>
              <w:t>a</w:t>
            </w:r>
            <w:r w:rsidRPr="00103331">
              <w:rPr>
                <w:sz w:val="20"/>
                <w:szCs w:val="20"/>
                <w:lang w:val="ro-MD"/>
              </w:rPr>
              <w:t xml:space="preserve"> către Ucraina și Moldova, susține prelungirea produsului rutei, care este în conformitate cu regulile și cerințele europene de concurență, s</w:t>
            </w:r>
            <w:r>
              <w:rPr>
                <w:sz w:val="20"/>
                <w:szCs w:val="20"/>
                <w:lang w:val="ro-MD"/>
              </w:rPr>
              <w:t>ustenabilitate și solidaritate.</w:t>
            </w:r>
          </w:p>
        </w:tc>
        <w:tc>
          <w:tcPr>
            <w:tcW w:w="2268" w:type="dxa"/>
          </w:tcPr>
          <w:p w14:paraId="6DBB5E9B" w14:textId="3D0A33C8" w:rsidR="00435CAB" w:rsidRPr="00F76DF9" w:rsidRDefault="00435CAB" w:rsidP="00435CAB">
            <w:pPr>
              <w:rPr>
                <w:b/>
                <w:sz w:val="20"/>
                <w:szCs w:val="20"/>
                <w:lang w:val="ro-MD"/>
              </w:rPr>
            </w:pPr>
            <w:r>
              <w:rPr>
                <w:b/>
                <w:sz w:val="20"/>
                <w:szCs w:val="20"/>
              </w:rPr>
              <w:t>Se acceptă</w:t>
            </w:r>
          </w:p>
        </w:tc>
      </w:tr>
      <w:tr w:rsidR="00435CAB" w:rsidRPr="000D04A6" w14:paraId="1D2BEA0D" w14:textId="77777777" w:rsidTr="00103331">
        <w:trPr>
          <w:trHeight w:val="704"/>
        </w:trPr>
        <w:tc>
          <w:tcPr>
            <w:tcW w:w="562" w:type="dxa"/>
            <w:vAlign w:val="center"/>
          </w:tcPr>
          <w:p w14:paraId="5312E3E0" w14:textId="77777777" w:rsidR="00435CAB" w:rsidRPr="000D04A6" w:rsidRDefault="00435CAB" w:rsidP="00435CAB">
            <w:pPr>
              <w:jc w:val="center"/>
              <w:rPr>
                <w:b/>
                <w:sz w:val="20"/>
                <w:szCs w:val="20"/>
              </w:rPr>
            </w:pPr>
          </w:p>
        </w:tc>
        <w:tc>
          <w:tcPr>
            <w:tcW w:w="1985" w:type="dxa"/>
          </w:tcPr>
          <w:p w14:paraId="133C561D" w14:textId="5C78C9E6" w:rsidR="00435CAB" w:rsidRDefault="00435CAB" w:rsidP="00435CAB">
            <w:pPr>
              <w:rPr>
                <w:sz w:val="20"/>
                <w:szCs w:val="20"/>
              </w:rPr>
            </w:pPr>
            <w:r>
              <w:rPr>
                <w:sz w:val="20"/>
                <w:szCs w:val="20"/>
              </w:rPr>
              <w:t xml:space="preserve">D.TRADING </w:t>
            </w:r>
          </w:p>
          <w:p w14:paraId="16BCEC55" w14:textId="41D0B9B5" w:rsidR="00435CAB" w:rsidRDefault="00435CAB" w:rsidP="00435CAB">
            <w:pPr>
              <w:rPr>
                <w:sz w:val="20"/>
                <w:szCs w:val="20"/>
              </w:rPr>
            </w:pPr>
            <w:proofErr w:type="spellStart"/>
            <w:r w:rsidRPr="006D5B67">
              <w:rPr>
                <w:i/>
                <w:sz w:val="20"/>
                <w:szCs w:val="20"/>
                <w:lang w:val="ro-MD"/>
              </w:rPr>
              <w:t>întregistrat</w:t>
            </w:r>
            <w:proofErr w:type="spellEnd"/>
            <w:r w:rsidRPr="006D5B67">
              <w:rPr>
                <w:i/>
                <w:sz w:val="20"/>
                <w:szCs w:val="20"/>
                <w:lang w:val="ro-MD"/>
              </w:rPr>
              <w:t xml:space="preserve"> la ANRE cu nr.  </w:t>
            </w:r>
            <w:r>
              <w:rPr>
                <w:i/>
                <w:sz w:val="20"/>
                <w:szCs w:val="20"/>
                <w:lang w:val="ro-MD"/>
              </w:rPr>
              <w:t>15065</w:t>
            </w:r>
            <w:r w:rsidRPr="006D5B67">
              <w:rPr>
                <w:i/>
                <w:sz w:val="20"/>
                <w:szCs w:val="20"/>
                <w:lang w:val="ro-MD"/>
              </w:rPr>
              <w:t xml:space="preserve"> din </w:t>
            </w:r>
            <w:r>
              <w:rPr>
                <w:i/>
                <w:sz w:val="20"/>
                <w:szCs w:val="20"/>
                <w:lang w:val="ro-MD"/>
              </w:rPr>
              <w:t>15</w:t>
            </w:r>
            <w:r w:rsidRPr="006D5B67">
              <w:rPr>
                <w:i/>
                <w:sz w:val="20"/>
                <w:szCs w:val="20"/>
                <w:lang w:val="ro-MD"/>
              </w:rPr>
              <w:t>.10.2025</w:t>
            </w:r>
          </w:p>
        </w:tc>
        <w:tc>
          <w:tcPr>
            <w:tcW w:w="9781" w:type="dxa"/>
            <w:gridSpan w:val="2"/>
            <w:vAlign w:val="center"/>
          </w:tcPr>
          <w:p w14:paraId="16572C27" w14:textId="0FD72A71" w:rsidR="00435CAB" w:rsidRPr="00912E3B" w:rsidRDefault="00435CAB" w:rsidP="0043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F1F1F"/>
                <w:sz w:val="20"/>
                <w:szCs w:val="20"/>
                <w:lang w:val="ro-RO"/>
              </w:rPr>
            </w:pPr>
            <w:r w:rsidRPr="00912E3B">
              <w:rPr>
                <w:color w:val="1F1F1F"/>
                <w:sz w:val="20"/>
                <w:szCs w:val="20"/>
                <w:lang w:val="ro-RO"/>
              </w:rPr>
              <w:t>D. TRADING apreciază oportunitatea de a oferi comentarii cu privire la consultarea ANRE privind modificarea Deciziei ANRE nr. 272/2025 privind produsul special de capacitate „Ruta 1”.</w:t>
            </w:r>
            <w:r>
              <w:rPr>
                <w:color w:val="1F1F1F"/>
                <w:sz w:val="20"/>
                <w:szCs w:val="20"/>
                <w:lang w:val="ro-RO"/>
              </w:rPr>
              <w:t xml:space="preserve"> </w:t>
            </w:r>
            <w:r w:rsidRPr="00912E3B">
              <w:rPr>
                <w:color w:val="1F1F1F"/>
                <w:sz w:val="20"/>
                <w:szCs w:val="20"/>
                <w:lang w:val="ro-RO"/>
              </w:rPr>
              <w:t>În calitate de părți interesate active pe piața regională a gazelor naturale și susținători dedicați ai rutei transbalcanice, salutăm cu căldură și susținem prelungirea perioadei de valabilitate a produsului de capacitate „Ruta 1” propus.</w:t>
            </w:r>
            <w:r>
              <w:rPr>
                <w:color w:val="1F1F1F"/>
                <w:sz w:val="20"/>
                <w:szCs w:val="20"/>
                <w:lang w:val="ro-RO"/>
              </w:rPr>
              <w:t xml:space="preserve"> </w:t>
            </w:r>
            <w:r w:rsidRPr="00912E3B">
              <w:rPr>
                <w:color w:val="1F1F1F"/>
                <w:sz w:val="20"/>
                <w:szCs w:val="20"/>
                <w:lang w:val="ro-RO"/>
              </w:rPr>
              <w:t xml:space="preserve"> Acest produs este o măsură oportună, țintită și extrem de necesară, concepută pentru a îmbunătăți fluxurile transfrontaliere de gaze naturale din Grecia către Ucraina într-o perioadă de nevoie urgentă de energie. Considerăm că acest coridor este strategic important pentru securitatea energetică a Ucrainei și pentru o diversificare mai largă a aprovizionării regionale.</w:t>
            </w:r>
          </w:p>
          <w:p w14:paraId="68C33831" w14:textId="003BFEE9" w:rsidR="00435CAB" w:rsidRPr="00103331" w:rsidRDefault="00435CAB" w:rsidP="0043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F1F1F"/>
                <w:sz w:val="20"/>
                <w:szCs w:val="20"/>
                <w:lang w:val="ro-RO"/>
              </w:rPr>
            </w:pPr>
            <w:r w:rsidRPr="00912E3B">
              <w:rPr>
                <w:color w:val="1F1F1F"/>
                <w:sz w:val="20"/>
                <w:szCs w:val="20"/>
                <w:lang w:val="ro-RO"/>
              </w:rPr>
              <w:t xml:space="preserve">     D. TRADING salută prelungirea produsului de capacitate aferent „Rutei 1” și valabilitatea acestuia în perioada 1 noiembrie 2025 - 30 septembrie 2026.  De asemenea, D. TRADING susține introducerea reducerilor suplimentare propuse, care sunt esențiale pentru utilizarea produsului „Ruta 1” de către participanții la piață. Îmbunătățirile suplimentare privind flexibilitatea și atractivitatea economică a produsului sunt binevenite. </w:t>
            </w:r>
          </w:p>
        </w:tc>
        <w:tc>
          <w:tcPr>
            <w:tcW w:w="2268" w:type="dxa"/>
          </w:tcPr>
          <w:p w14:paraId="244F9C4D" w14:textId="168147AE" w:rsidR="00435CAB" w:rsidRPr="000D04A6" w:rsidRDefault="00435CAB" w:rsidP="00435CAB">
            <w:pPr>
              <w:rPr>
                <w:b/>
                <w:sz w:val="20"/>
                <w:szCs w:val="20"/>
              </w:rPr>
            </w:pPr>
            <w:r>
              <w:rPr>
                <w:b/>
                <w:sz w:val="20"/>
                <w:szCs w:val="20"/>
              </w:rPr>
              <w:t>Se acceptă</w:t>
            </w:r>
          </w:p>
        </w:tc>
      </w:tr>
      <w:tr w:rsidR="00435CAB" w:rsidRPr="000D04A6" w14:paraId="0F9CA11B" w14:textId="77777777" w:rsidTr="00103331">
        <w:trPr>
          <w:trHeight w:val="704"/>
        </w:trPr>
        <w:tc>
          <w:tcPr>
            <w:tcW w:w="562" w:type="dxa"/>
            <w:vAlign w:val="center"/>
          </w:tcPr>
          <w:p w14:paraId="5DD77132" w14:textId="77777777" w:rsidR="00435CAB" w:rsidRPr="000D04A6" w:rsidRDefault="00435CAB" w:rsidP="00435CAB">
            <w:pPr>
              <w:jc w:val="center"/>
              <w:rPr>
                <w:b/>
                <w:sz w:val="20"/>
                <w:szCs w:val="20"/>
              </w:rPr>
            </w:pPr>
          </w:p>
        </w:tc>
        <w:tc>
          <w:tcPr>
            <w:tcW w:w="1985" w:type="dxa"/>
          </w:tcPr>
          <w:p w14:paraId="3D7587D5" w14:textId="38D5D400" w:rsidR="00435CAB" w:rsidRDefault="00435CAB" w:rsidP="00435CAB">
            <w:pPr>
              <w:rPr>
                <w:sz w:val="20"/>
                <w:szCs w:val="20"/>
              </w:rPr>
            </w:pPr>
            <w:proofErr w:type="spellStart"/>
            <w:r>
              <w:rPr>
                <w:sz w:val="20"/>
                <w:szCs w:val="20"/>
              </w:rPr>
              <w:t>Powel</w:t>
            </w:r>
            <w:proofErr w:type="spellEnd"/>
            <w:r>
              <w:rPr>
                <w:sz w:val="20"/>
                <w:szCs w:val="20"/>
              </w:rPr>
              <w:t xml:space="preserve"> </w:t>
            </w:r>
            <w:proofErr w:type="spellStart"/>
            <w:r>
              <w:rPr>
                <w:sz w:val="20"/>
                <w:szCs w:val="20"/>
              </w:rPr>
              <w:t>Lont</w:t>
            </w:r>
            <w:proofErr w:type="spellEnd"/>
            <w:r>
              <w:rPr>
                <w:sz w:val="20"/>
                <w:szCs w:val="20"/>
              </w:rPr>
              <w:t xml:space="preserve">, Polonia </w:t>
            </w:r>
          </w:p>
          <w:p w14:paraId="6AEF5E63" w14:textId="0A0E4EA7" w:rsidR="00435CAB" w:rsidRDefault="00435CAB" w:rsidP="00435CAB">
            <w:pPr>
              <w:rPr>
                <w:sz w:val="20"/>
                <w:szCs w:val="20"/>
              </w:rPr>
            </w:pPr>
            <w:proofErr w:type="spellStart"/>
            <w:r>
              <w:rPr>
                <w:sz w:val="20"/>
                <w:szCs w:val="20"/>
              </w:rPr>
              <w:t>Chair</w:t>
            </w:r>
            <w:proofErr w:type="spellEnd"/>
            <w:r>
              <w:rPr>
                <w:sz w:val="20"/>
                <w:szCs w:val="20"/>
              </w:rPr>
              <w:t xml:space="preserve"> Gas </w:t>
            </w:r>
            <w:proofErr w:type="spellStart"/>
            <w:r>
              <w:rPr>
                <w:sz w:val="20"/>
                <w:szCs w:val="20"/>
              </w:rPr>
              <w:t>commitee</w:t>
            </w:r>
            <w:proofErr w:type="spellEnd"/>
            <w:r>
              <w:rPr>
                <w:sz w:val="20"/>
                <w:szCs w:val="20"/>
              </w:rPr>
              <w:t xml:space="preserve"> WG Energy </w:t>
            </w:r>
            <w:proofErr w:type="spellStart"/>
            <w:r>
              <w:rPr>
                <w:sz w:val="20"/>
                <w:szCs w:val="20"/>
              </w:rPr>
              <w:t>Traders</w:t>
            </w:r>
            <w:proofErr w:type="spellEnd"/>
            <w:r>
              <w:rPr>
                <w:sz w:val="20"/>
                <w:szCs w:val="20"/>
              </w:rPr>
              <w:t xml:space="preserve"> Europe</w:t>
            </w:r>
          </w:p>
          <w:p w14:paraId="2D1E6C93" w14:textId="0934D867" w:rsidR="00435CAB" w:rsidRDefault="00435CAB" w:rsidP="00435CAB">
            <w:pPr>
              <w:rPr>
                <w:sz w:val="20"/>
                <w:szCs w:val="20"/>
              </w:rPr>
            </w:pPr>
            <w:proofErr w:type="spellStart"/>
            <w:r w:rsidRPr="006D5B67">
              <w:rPr>
                <w:i/>
                <w:sz w:val="20"/>
                <w:szCs w:val="20"/>
                <w:lang w:val="ro-MD"/>
              </w:rPr>
              <w:t>întregistrat</w:t>
            </w:r>
            <w:proofErr w:type="spellEnd"/>
            <w:r w:rsidRPr="006D5B67">
              <w:rPr>
                <w:i/>
                <w:sz w:val="20"/>
                <w:szCs w:val="20"/>
                <w:lang w:val="ro-MD"/>
              </w:rPr>
              <w:t xml:space="preserve"> la ANRE cu nr.</w:t>
            </w:r>
            <w:r>
              <w:rPr>
                <w:i/>
                <w:sz w:val="20"/>
                <w:szCs w:val="20"/>
                <w:lang w:val="ro-MD"/>
              </w:rPr>
              <w:t xml:space="preserve">15007 </w:t>
            </w:r>
            <w:r w:rsidRPr="006D5B67">
              <w:rPr>
                <w:i/>
                <w:sz w:val="20"/>
                <w:szCs w:val="20"/>
                <w:lang w:val="ro-MD"/>
              </w:rPr>
              <w:t xml:space="preserve"> din </w:t>
            </w:r>
            <w:r>
              <w:rPr>
                <w:i/>
                <w:sz w:val="20"/>
                <w:szCs w:val="20"/>
                <w:lang w:val="ro-MD"/>
              </w:rPr>
              <w:t>13</w:t>
            </w:r>
            <w:r w:rsidRPr="006D5B67">
              <w:rPr>
                <w:i/>
                <w:sz w:val="20"/>
                <w:szCs w:val="20"/>
                <w:lang w:val="ro-MD"/>
              </w:rPr>
              <w:t>.10.2025</w:t>
            </w:r>
            <w:r>
              <w:rPr>
                <w:i/>
                <w:sz w:val="20"/>
                <w:szCs w:val="20"/>
                <w:lang w:val="ro-MD"/>
              </w:rPr>
              <w:t xml:space="preserve"> </w:t>
            </w:r>
          </w:p>
        </w:tc>
        <w:tc>
          <w:tcPr>
            <w:tcW w:w="9781" w:type="dxa"/>
            <w:gridSpan w:val="2"/>
            <w:vAlign w:val="center"/>
          </w:tcPr>
          <w:p w14:paraId="75696C95" w14:textId="343AF88F" w:rsidR="00435CAB" w:rsidRPr="001D273E" w:rsidRDefault="00435CAB" w:rsidP="0043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F1F1F"/>
                <w:sz w:val="20"/>
                <w:szCs w:val="20"/>
                <w:lang w:val="ro-RO"/>
              </w:rPr>
            </w:pPr>
            <w:r w:rsidRPr="001D273E">
              <w:rPr>
                <w:color w:val="1F1F1F"/>
                <w:sz w:val="20"/>
                <w:szCs w:val="20"/>
                <w:lang w:val="ro-RO"/>
              </w:rPr>
              <w:t xml:space="preserve">Stimați OTS și ANR-uri de-a lungul rutei transbalcanice, Stimați părți interesate, </w:t>
            </w:r>
          </w:p>
          <w:p w14:paraId="68778DDB" w14:textId="1F06D7CB" w:rsidR="00435CAB" w:rsidRPr="001D273E" w:rsidRDefault="00435CAB" w:rsidP="00435CAB">
            <w:pPr>
              <w:pStyle w:val="HTMLPreformatted"/>
              <w:jc w:val="both"/>
              <w:rPr>
                <w:rFonts w:ascii="inherit" w:hAnsi="inherit"/>
                <w:color w:val="1F1F1F"/>
                <w:lang w:val="ro-RO"/>
              </w:rPr>
            </w:pPr>
            <w:r w:rsidRPr="001D273E">
              <w:rPr>
                <w:rFonts w:ascii="Times New Roman" w:hAnsi="Times New Roman" w:cs="Times New Roman"/>
                <w:color w:val="1F1F1F"/>
                <w:lang w:val="ro-RO"/>
              </w:rPr>
              <w:t>Ni s-a adus la cunoștință faptul că săptămâna trecută unele entități de tranzacționare și-au exprimat sprijinul pentru prelungirea Ruta 1 „produs de capacitate specială”. Deși sunt perfect liberi să facă acest lucru, am vrut doar să profit de această ocazie p</w:t>
            </w:r>
            <w:r>
              <w:rPr>
                <w:rFonts w:ascii="Times New Roman" w:hAnsi="Times New Roman" w:cs="Times New Roman"/>
                <w:color w:val="1F1F1F"/>
                <w:lang w:val="ro-RO"/>
              </w:rPr>
              <w:t>entru a reaminti tuturor poziți</w:t>
            </w:r>
            <w:r w:rsidRPr="001D273E">
              <w:rPr>
                <w:rFonts w:ascii="Times New Roman" w:hAnsi="Times New Roman" w:cs="Times New Roman"/>
                <w:color w:val="1F1F1F"/>
                <w:lang w:val="ro-RO"/>
              </w:rPr>
              <w:t>a anumitor compani</w:t>
            </w:r>
            <w:r>
              <w:rPr>
                <w:rFonts w:ascii="Times New Roman" w:hAnsi="Times New Roman" w:cs="Times New Roman"/>
                <w:color w:val="1F1F1F"/>
                <w:lang w:val="ro-RO"/>
              </w:rPr>
              <w:t xml:space="preserve">i nu ar trebui să fie acordată </w:t>
            </w:r>
            <w:r w:rsidRPr="001D273E">
              <w:rPr>
                <w:rFonts w:ascii="Times New Roman" w:hAnsi="Times New Roman" w:cs="Times New Roman"/>
                <w:color w:val="1F1F1F"/>
                <w:lang w:val="ro-RO"/>
              </w:rPr>
              <w:t>Me</w:t>
            </w:r>
            <w:r>
              <w:rPr>
                <w:rFonts w:ascii="Times New Roman" w:hAnsi="Times New Roman" w:cs="Times New Roman"/>
                <w:color w:val="1F1F1F"/>
                <w:lang w:val="ro-RO"/>
              </w:rPr>
              <w:t>m</w:t>
            </w:r>
            <w:r w:rsidRPr="001D273E">
              <w:rPr>
                <w:rFonts w:ascii="Times New Roman" w:hAnsi="Times New Roman" w:cs="Times New Roman"/>
                <w:color w:val="1F1F1F"/>
                <w:lang w:val="ro-RO"/>
              </w:rPr>
              <w:t>b</w:t>
            </w:r>
            <w:r w:rsidRPr="001D273E">
              <w:rPr>
                <w:rStyle w:val="y2iqfc"/>
                <w:rFonts w:ascii="Times New Roman" w:hAnsi="Times New Roman" w:cs="Times New Roman"/>
                <w:color w:val="1F1F1F"/>
                <w:lang w:val="ro-RO"/>
              </w:rPr>
              <w:t>rilor</w:t>
            </w:r>
            <w:r>
              <w:rPr>
                <w:rStyle w:val="y2iqfc"/>
                <w:rFonts w:ascii="Times New Roman" w:hAnsi="Times New Roman" w:cs="Times New Roman"/>
                <w:color w:val="1F1F1F"/>
                <w:lang w:val="ro-RO"/>
              </w:rPr>
              <w:t xml:space="preserve"> </w:t>
            </w:r>
            <w:r w:rsidRPr="001D273E">
              <w:rPr>
                <w:rStyle w:val="y2iqfc"/>
                <w:rFonts w:ascii="Times New Roman" w:hAnsi="Times New Roman" w:cs="Times New Roman"/>
                <w:color w:val="1F1F1F"/>
                <w:lang w:val="ro-RO"/>
              </w:rPr>
              <w:t>.</w:t>
            </w:r>
          </w:p>
          <w:p w14:paraId="4D8A02F8" w14:textId="77777777" w:rsidR="00435CAB" w:rsidRPr="001D273E" w:rsidRDefault="00435CAB" w:rsidP="00435CAB">
            <w:pPr>
              <w:pStyle w:val="HTMLPreformatted"/>
              <w:jc w:val="both"/>
              <w:rPr>
                <w:rFonts w:ascii="Times New Roman" w:hAnsi="Times New Roman" w:cs="Times New Roman"/>
                <w:color w:val="1F1F1F"/>
                <w:lang w:val="ro-RO"/>
              </w:rPr>
            </w:pPr>
            <w:r w:rsidRPr="001D273E">
              <w:rPr>
                <w:rStyle w:val="y2iqfc"/>
                <w:rFonts w:ascii="Times New Roman" w:hAnsi="Times New Roman" w:cs="Times New Roman"/>
                <w:color w:val="1F1F1F"/>
                <w:lang w:val="ro-RO"/>
              </w:rPr>
              <w:t xml:space="preserve">     Pozițiile noastre convenite sunt întotdeauna emise în scris și sunt comunicate prin intermediul secretariatului. În calitate de asociație de peste 170 de entități de comercializare a energiei din întreaga </w:t>
            </w:r>
            <w:proofErr w:type="spellStart"/>
            <w:r w:rsidRPr="001D273E">
              <w:rPr>
                <w:rStyle w:val="y2iqfc"/>
                <w:rFonts w:ascii="Times New Roman" w:hAnsi="Times New Roman" w:cs="Times New Roman"/>
                <w:color w:val="1F1F1F"/>
                <w:lang w:val="ro-RO"/>
              </w:rPr>
              <w:t>Europă</w:t>
            </w:r>
            <w:proofErr w:type="spellEnd"/>
            <w:r w:rsidRPr="001D273E">
              <w:rPr>
                <w:rStyle w:val="y2iqfc"/>
                <w:rFonts w:ascii="Times New Roman" w:hAnsi="Times New Roman" w:cs="Times New Roman"/>
                <w:color w:val="1F1F1F"/>
                <w:lang w:val="ro-RO"/>
              </w:rPr>
              <w:t>, trebuie să ne asigurăm că poziția noastră este așa cum  sunt sigur că înțelegeți.</w:t>
            </w:r>
          </w:p>
          <w:p w14:paraId="0337FBFA" w14:textId="05F02B7E" w:rsidR="00435CAB" w:rsidRPr="001D273E" w:rsidRDefault="00435CAB" w:rsidP="00435CAB">
            <w:pPr>
              <w:jc w:val="both"/>
              <w:rPr>
                <w:sz w:val="20"/>
                <w:szCs w:val="20"/>
                <w:lang w:val="ro-RO"/>
              </w:rPr>
            </w:pPr>
            <w:r w:rsidRPr="001D273E">
              <w:rPr>
                <w:color w:val="1F1F1F"/>
                <w:sz w:val="20"/>
                <w:szCs w:val="20"/>
                <w:lang w:val="ro-RO"/>
              </w:rPr>
              <w:t>În ceea ce privește cazul specific dinapoi al Rutei 1 și al „produselor de capacitate specială” similare, ne menținem opinia exprimată în luna mai (link) - considerăm că acest lucru creează un precedent periculos, în timp ce există soluții solide din punct de vedere juridic în trecut pentru a face ruta transbalcanică atractivă - soluții pe care le discutăm cu toții de trei ani</w:t>
            </w:r>
            <w:r>
              <w:rPr>
                <w:color w:val="1F1F1F"/>
                <w:sz w:val="20"/>
                <w:szCs w:val="20"/>
                <w:lang w:val="ro-RO"/>
              </w:rPr>
              <w:t>.</w:t>
            </w:r>
          </w:p>
        </w:tc>
        <w:tc>
          <w:tcPr>
            <w:tcW w:w="2268" w:type="dxa"/>
          </w:tcPr>
          <w:p w14:paraId="25CDA3FD" w14:textId="77777777" w:rsidR="00CE0E57" w:rsidRPr="00261B8C" w:rsidRDefault="00435CAB" w:rsidP="00CE0E57">
            <w:pPr>
              <w:jc w:val="both"/>
              <w:rPr>
                <w:b/>
                <w:color w:val="1F1F1F"/>
                <w:sz w:val="20"/>
                <w:szCs w:val="20"/>
                <w:lang w:val="ro-RO"/>
              </w:rPr>
            </w:pPr>
            <w:r w:rsidRPr="00261B8C">
              <w:rPr>
                <w:b/>
                <w:color w:val="1F1F1F"/>
                <w:sz w:val="20"/>
                <w:szCs w:val="20"/>
                <w:lang w:val="ro-RO"/>
              </w:rPr>
              <w:t>Nu se acceptă.</w:t>
            </w:r>
          </w:p>
          <w:p w14:paraId="15CA5E9E" w14:textId="11CC1F4F" w:rsidR="00435CAB" w:rsidRPr="00CE0E57" w:rsidRDefault="00CE0E57" w:rsidP="00261B8C">
            <w:pPr>
              <w:jc w:val="both"/>
              <w:rPr>
                <w:color w:val="1F1F1F"/>
                <w:sz w:val="20"/>
                <w:szCs w:val="20"/>
                <w:lang w:val="ro-RO"/>
              </w:rPr>
            </w:pPr>
            <w:r w:rsidRPr="00261B8C">
              <w:rPr>
                <w:color w:val="1F1F1F"/>
                <w:sz w:val="20"/>
                <w:szCs w:val="20"/>
                <w:lang w:val="ro-RO"/>
              </w:rPr>
              <w:t>Prelungirea produsului de capacitate ,,Ruta 1” ține de necesitatea asigurării securității energetice regionale</w:t>
            </w:r>
            <w:r w:rsidR="00A12080">
              <w:rPr>
                <w:color w:val="1F1F1F"/>
                <w:sz w:val="20"/>
                <w:szCs w:val="20"/>
                <w:lang w:val="ro-RO"/>
              </w:rPr>
              <w:t>, inclusiv a Republicii Moldova,</w:t>
            </w:r>
            <w:r w:rsidRPr="00261B8C">
              <w:rPr>
                <w:color w:val="1F1F1F"/>
                <w:sz w:val="20"/>
                <w:szCs w:val="20"/>
                <w:lang w:val="ro-RO"/>
              </w:rPr>
              <w:t xml:space="preserve"> și</w:t>
            </w:r>
            <w:r w:rsidR="00261B8C">
              <w:rPr>
                <w:color w:val="1F1F1F"/>
                <w:sz w:val="20"/>
                <w:szCs w:val="20"/>
                <w:lang w:val="ro-RO"/>
              </w:rPr>
              <w:t>, în special</w:t>
            </w:r>
            <w:r w:rsidRPr="00261B8C">
              <w:rPr>
                <w:color w:val="1F1F1F"/>
                <w:sz w:val="20"/>
                <w:szCs w:val="20"/>
                <w:lang w:val="ro-RO"/>
              </w:rPr>
              <w:t xml:space="preserve"> aprovizion</w:t>
            </w:r>
            <w:r w:rsidR="00261B8C">
              <w:rPr>
                <w:color w:val="1F1F1F"/>
                <w:sz w:val="20"/>
                <w:szCs w:val="20"/>
                <w:lang w:val="ro-RO"/>
              </w:rPr>
              <w:t>area</w:t>
            </w:r>
            <w:r w:rsidRPr="00261B8C">
              <w:rPr>
                <w:color w:val="1F1F1F"/>
                <w:sz w:val="20"/>
                <w:szCs w:val="20"/>
                <w:lang w:val="ro-RO"/>
              </w:rPr>
              <w:t xml:space="preserve"> cu gaze naturale a  Ucrainei. </w:t>
            </w:r>
            <w:r w:rsidR="00261B8C">
              <w:rPr>
                <w:color w:val="1F1F1F"/>
                <w:sz w:val="20"/>
                <w:szCs w:val="20"/>
                <w:lang w:val="ro-RO"/>
              </w:rPr>
              <w:t xml:space="preserve">Instalațiile </w:t>
            </w:r>
            <w:r w:rsidRPr="00261B8C">
              <w:rPr>
                <w:color w:val="1F1F1F"/>
                <w:sz w:val="20"/>
                <w:szCs w:val="20"/>
                <w:lang w:val="ro-RO"/>
              </w:rPr>
              <w:t>de producere a gazelor naturale din Ucraina au fost atacate masiv ceea ce a dus la o reducere de până la 60</w:t>
            </w:r>
            <w:r w:rsidR="00A12080">
              <w:rPr>
                <w:color w:val="1F1F1F"/>
                <w:sz w:val="20"/>
                <w:szCs w:val="20"/>
                <w:lang w:val="ro-RO"/>
              </w:rPr>
              <w:t xml:space="preserve"> </w:t>
            </w:r>
            <w:r w:rsidRPr="00261B8C">
              <w:rPr>
                <w:color w:val="1F1F1F"/>
                <w:sz w:val="20"/>
                <w:szCs w:val="20"/>
                <w:lang w:val="ro-RO"/>
              </w:rPr>
              <w:t>% a producției interne</w:t>
            </w:r>
            <w:r w:rsidR="00261B8C">
              <w:rPr>
                <w:color w:val="1F1F1F"/>
                <w:sz w:val="20"/>
                <w:szCs w:val="20"/>
                <w:lang w:val="ro-RO"/>
              </w:rPr>
              <w:t xml:space="preserve"> de gaze</w:t>
            </w:r>
            <w:r w:rsidR="00A12080">
              <w:rPr>
                <w:color w:val="1F1F1F"/>
                <w:sz w:val="20"/>
                <w:szCs w:val="20"/>
                <w:lang w:val="ro-RO"/>
              </w:rPr>
              <w:t xml:space="preserve"> naturale</w:t>
            </w:r>
            <w:r w:rsidRPr="00261B8C">
              <w:rPr>
                <w:color w:val="1F1F1F"/>
                <w:sz w:val="20"/>
                <w:szCs w:val="20"/>
                <w:lang w:val="ro-RO"/>
              </w:rPr>
              <w:t>.</w:t>
            </w:r>
            <w:r w:rsidR="00261B8C">
              <w:rPr>
                <w:color w:val="1F1F1F"/>
                <w:sz w:val="20"/>
                <w:szCs w:val="20"/>
                <w:lang w:val="ro-RO"/>
              </w:rPr>
              <w:t xml:space="preserve"> </w:t>
            </w:r>
            <w:r w:rsidRPr="00261B8C">
              <w:rPr>
                <w:color w:val="1F1F1F"/>
                <w:sz w:val="20"/>
                <w:szCs w:val="20"/>
                <w:lang w:val="ro-RO"/>
              </w:rPr>
              <w:t>În consecință</w:t>
            </w:r>
            <w:r w:rsidR="00261B8C" w:rsidRPr="00261B8C">
              <w:rPr>
                <w:color w:val="1F1F1F"/>
                <w:sz w:val="20"/>
                <w:szCs w:val="20"/>
                <w:lang w:val="ro-RO"/>
              </w:rPr>
              <w:t xml:space="preserve">, </w:t>
            </w:r>
            <w:r w:rsidRPr="00261B8C">
              <w:rPr>
                <w:color w:val="1F1F1F"/>
                <w:sz w:val="20"/>
                <w:szCs w:val="20"/>
                <w:lang w:val="ro-RO"/>
              </w:rPr>
              <w:t xml:space="preserve">Ucraina </w:t>
            </w:r>
            <w:r w:rsidR="00261B8C" w:rsidRPr="00261B8C">
              <w:rPr>
                <w:color w:val="1F1F1F"/>
                <w:sz w:val="20"/>
                <w:szCs w:val="20"/>
                <w:lang w:val="ro-RO"/>
              </w:rPr>
              <w:t xml:space="preserve">are necesitatea de a </w:t>
            </w:r>
            <w:r w:rsidRPr="00261B8C">
              <w:rPr>
                <w:color w:val="1F1F1F"/>
                <w:sz w:val="20"/>
                <w:szCs w:val="20"/>
                <w:lang w:val="ro-RO"/>
              </w:rPr>
              <w:t>sporir</w:t>
            </w:r>
            <w:r w:rsidR="00261B8C" w:rsidRPr="00261B8C">
              <w:rPr>
                <w:color w:val="1F1F1F"/>
                <w:sz w:val="20"/>
                <w:szCs w:val="20"/>
                <w:lang w:val="ro-RO"/>
              </w:rPr>
              <w:t>i</w:t>
            </w:r>
            <w:r w:rsidRPr="00261B8C">
              <w:rPr>
                <w:color w:val="1F1F1F"/>
                <w:sz w:val="20"/>
                <w:szCs w:val="20"/>
                <w:lang w:val="ro-RO"/>
              </w:rPr>
              <w:t xml:space="preserve"> importuril</w:t>
            </w:r>
            <w:r w:rsidR="00261B8C" w:rsidRPr="00261B8C">
              <w:rPr>
                <w:color w:val="1F1F1F"/>
                <w:sz w:val="20"/>
                <w:szCs w:val="20"/>
                <w:lang w:val="ro-RO"/>
              </w:rPr>
              <w:t>e</w:t>
            </w:r>
            <w:r w:rsidRPr="00261B8C">
              <w:rPr>
                <w:color w:val="1F1F1F"/>
                <w:sz w:val="20"/>
                <w:szCs w:val="20"/>
                <w:lang w:val="ro-RO"/>
              </w:rPr>
              <w:t xml:space="preserve"> de gaze pentru a-și acoperi </w:t>
            </w:r>
            <w:r w:rsidR="00261B8C" w:rsidRPr="00261B8C">
              <w:rPr>
                <w:color w:val="1F1F1F"/>
                <w:sz w:val="20"/>
                <w:szCs w:val="20"/>
                <w:lang w:val="ro-RO"/>
              </w:rPr>
              <w:t xml:space="preserve">consumul </w:t>
            </w:r>
            <w:r w:rsidR="00261B8C">
              <w:rPr>
                <w:color w:val="1F1F1F"/>
                <w:sz w:val="20"/>
                <w:szCs w:val="20"/>
                <w:lang w:val="ro-RO"/>
              </w:rPr>
              <w:t xml:space="preserve">de </w:t>
            </w:r>
            <w:r w:rsidRPr="00261B8C">
              <w:rPr>
                <w:color w:val="1F1F1F"/>
                <w:sz w:val="20"/>
                <w:szCs w:val="20"/>
                <w:lang w:val="ro-RO"/>
              </w:rPr>
              <w:t>iarnă</w:t>
            </w:r>
            <w:r w:rsidR="00261B8C" w:rsidRPr="00261B8C">
              <w:rPr>
                <w:color w:val="1F1F1F"/>
                <w:sz w:val="20"/>
                <w:szCs w:val="20"/>
                <w:lang w:val="ro-RO"/>
              </w:rPr>
              <w:t>.</w:t>
            </w:r>
          </w:p>
        </w:tc>
      </w:tr>
      <w:tr w:rsidR="00435CAB" w:rsidRPr="000D04A6" w14:paraId="1EEDB71E" w14:textId="77777777" w:rsidTr="00261B8C">
        <w:trPr>
          <w:trHeight w:val="704"/>
        </w:trPr>
        <w:tc>
          <w:tcPr>
            <w:tcW w:w="562" w:type="dxa"/>
            <w:vAlign w:val="center"/>
          </w:tcPr>
          <w:p w14:paraId="711FB20C" w14:textId="77777777" w:rsidR="00435CAB" w:rsidRPr="000D04A6" w:rsidRDefault="00435CAB" w:rsidP="00435CAB">
            <w:pPr>
              <w:jc w:val="center"/>
              <w:rPr>
                <w:b/>
                <w:sz w:val="20"/>
                <w:szCs w:val="20"/>
              </w:rPr>
            </w:pPr>
          </w:p>
        </w:tc>
        <w:tc>
          <w:tcPr>
            <w:tcW w:w="1985" w:type="dxa"/>
          </w:tcPr>
          <w:p w14:paraId="0412FAD1" w14:textId="61EE9D78" w:rsidR="00435CAB" w:rsidRDefault="00435CAB" w:rsidP="00435CAB">
            <w:pPr>
              <w:rPr>
                <w:sz w:val="20"/>
                <w:szCs w:val="20"/>
              </w:rPr>
            </w:pPr>
            <w:r>
              <w:rPr>
                <w:sz w:val="20"/>
                <w:szCs w:val="20"/>
              </w:rPr>
              <w:t xml:space="preserve">SA </w:t>
            </w:r>
            <w:r>
              <w:rPr>
                <w:sz w:val="20"/>
                <w:szCs w:val="20"/>
                <w:lang w:val="en-US"/>
              </w:rPr>
              <w:t>“</w:t>
            </w:r>
            <w:proofErr w:type="spellStart"/>
            <w:r>
              <w:rPr>
                <w:sz w:val="20"/>
                <w:szCs w:val="20"/>
              </w:rPr>
              <w:t>Cet</w:t>
            </w:r>
            <w:proofErr w:type="spellEnd"/>
            <w:r>
              <w:rPr>
                <w:sz w:val="20"/>
                <w:szCs w:val="20"/>
              </w:rPr>
              <w:t>-Nord”</w:t>
            </w:r>
          </w:p>
          <w:p w14:paraId="67FE76DC" w14:textId="672CC69E" w:rsidR="00435CAB" w:rsidRPr="00BA5258" w:rsidRDefault="00435CAB" w:rsidP="00435CAB">
            <w:pPr>
              <w:rPr>
                <w:sz w:val="20"/>
                <w:szCs w:val="20"/>
              </w:rPr>
            </w:pPr>
            <w:r>
              <w:rPr>
                <w:sz w:val="20"/>
                <w:szCs w:val="20"/>
              </w:rPr>
              <w:t>aviz nr. 227-08/1272 din 13.10.2025</w:t>
            </w:r>
          </w:p>
        </w:tc>
        <w:tc>
          <w:tcPr>
            <w:tcW w:w="9781" w:type="dxa"/>
            <w:gridSpan w:val="2"/>
          </w:tcPr>
          <w:p w14:paraId="2822C38B" w14:textId="3BCC790F" w:rsidR="00435CAB" w:rsidRPr="00935DEA" w:rsidRDefault="00435CAB" w:rsidP="00261B8C">
            <w:pPr>
              <w:jc w:val="center"/>
              <w:rPr>
                <w:sz w:val="20"/>
                <w:szCs w:val="20"/>
              </w:rPr>
            </w:pPr>
            <w:r>
              <w:rPr>
                <w:sz w:val="20"/>
                <w:szCs w:val="20"/>
              </w:rPr>
              <w:t>Lipsa propunerilor sau obiecțiilor</w:t>
            </w:r>
          </w:p>
        </w:tc>
        <w:tc>
          <w:tcPr>
            <w:tcW w:w="2268" w:type="dxa"/>
          </w:tcPr>
          <w:p w14:paraId="58B47B5E" w14:textId="34B1A816" w:rsidR="00435CAB" w:rsidRDefault="00435CAB" w:rsidP="00435CAB">
            <w:pPr>
              <w:rPr>
                <w:b/>
                <w:sz w:val="20"/>
                <w:szCs w:val="20"/>
              </w:rPr>
            </w:pPr>
            <w:r>
              <w:rPr>
                <w:b/>
                <w:sz w:val="20"/>
                <w:szCs w:val="20"/>
              </w:rPr>
              <w:t>Se acceptă</w:t>
            </w:r>
            <w:r w:rsidR="00B414CA">
              <w:rPr>
                <w:b/>
                <w:sz w:val="20"/>
                <w:szCs w:val="20"/>
              </w:rPr>
              <w:t>.</w:t>
            </w:r>
          </w:p>
        </w:tc>
      </w:tr>
      <w:tr w:rsidR="00435CAB" w:rsidRPr="000D04A6" w14:paraId="23200C2A" w14:textId="77777777" w:rsidTr="00261B8C">
        <w:trPr>
          <w:trHeight w:val="704"/>
        </w:trPr>
        <w:tc>
          <w:tcPr>
            <w:tcW w:w="562" w:type="dxa"/>
            <w:vAlign w:val="center"/>
          </w:tcPr>
          <w:p w14:paraId="27418180" w14:textId="77777777" w:rsidR="00435CAB" w:rsidRPr="000D04A6" w:rsidRDefault="00435CAB" w:rsidP="00435CAB">
            <w:pPr>
              <w:jc w:val="center"/>
              <w:rPr>
                <w:b/>
                <w:sz w:val="20"/>
                <w:szCs w:val="20"/>
              </w:rPr>
            </w:pPr>
          </w:p>
        </w:tc>
        <w:tc>
          <w:tcPr>
            <w:tcW w:w="1985" w:type="dxa"/>
          </w:tcPr>
          <w:p w14:paraId="551630D6" w14:textId="3E278FBA" w:rsidR="00435CAB" w:rsidRPr="00B414CA" w:rsidRDefault="00435CAB" w:rsidP="00435CAB">
            <w:pPr>
              <w:rPr>
                <w:sz w:val="20"/>
                <w:szCs w:val="20"/>
              </w:rPr>
            </w:pPr>
            <w:r w:rsidRPr="00B414CA">
              <w:rPr>
                <w:sz w:val="20"/>
                <w:szCs w:val="20"/>
              </w:rPr>
              <w:t xml:space="preserve">SRL </w:t>
            </w:r>
            <w:r w:rsidRPr="00B414CA">
              <w:rPr>
                <w:sz w:val="20"/>
                <w:szCs w:val="20"/>
                <w:lang w:val="en-US"/>
              </w:rPr>
              <w:t>“</w:t>
            </w:r>
            <w:proofErr w:type="spellStart"/>
            <w:r w:rsidRPr="00B414CA">
              <w:rPr>
                <w:sz w:val="20"/>
                <w:szCs w:val="20"/>
              </w:rPr>
              <w:t>Dynamic</w:t>
            </w:r>
            <w:proofErr w:type="spellEnd"/>
            <w:r w:rsidRPr="00B414CA">
              <w:rPr>
                <w:sz w:val="20"/>
                <w:szCs w:val="20"/>
              </w:rPr>
              <w:t xml:space="preserve"> gaz </w:t>
            </w:r>
            <w:proofErr w:type="spellStart"/>
            <w:r w:rsidRPr="00B414CA">
              <w:rPr>
                <w:sz w:val="20"/>
                <w:szCs w:val="20"/>
              </w:rPr>
              <w:t>group</w:t>
            </w:r>
            <w:proofErr w:type="spellEnd"/>
            <w:r w:rsidRPr="00B414CA">
              <w:rPr>
                <w:sz w:val="20"/>
                <w:szCs w:val="20"/>
              </w:rPr>
              <w:t>”</w:t>
            </w:r>
          </w:p>
          <w:p w14:paraId="1711C114" w14:textId="60632C72" w:rsidR="00435CAB" w:rsidRPr="00B414CA" w:rsidRDefault="00435CAB" w:rsidP="00435CAB">
            <w:pPr>
              <w:rPr>
                <w:sz w:val="20"/>
                <w:szCs w:val="20"/>
              </w:rPr>
            </w:pPr>
            <w:r w:rsidRPr="00B414CA">
              <w:rPr>
                <w:sz w:val="20"/>
                <w:szCs w:val="20"/>
              </w:rPr>
              <w:t>aviz nr. 38 din 20.10.2025</w:t>
            </w:r>
          </w:p>
        </w:tc>
        <w:tc>
          <w:tcPr>
            <w:tcW w:w="9781" w:type="dxa"/>
            <w:gridSpan w:val="2"/>
          </w:tcPr>
          <w:p w14:paraId="1F28CAE0" w14:textId="0D5BABF7" w:rsidR="00435CAB" w:rsidRDefault="00435CAB" w:rsidP="00261B8C">
            <w:pPr>
              <w:jc w:val="center"/>
              <w:rPr>
                <w:sz w:val="20"/>
                <w:szCs w:val="20"/>
              </w:rPr>
            </w:pPr>
            <w:r>
              <w:rPr>
                <w:sz w:val="20"/>
                <w:szCs w:val="20"/>
              </w:rPr>
              <w:t xml:space="preserve">Apreciază eforturile depuse de SRL </w:t>
            </w:r>
            <w:r w:rsidRPr="00271C59">
              <w:rPr>
                <w:sz w:val="20"/>
                <w:szCs w:val="20"/>
                <w:lang w:val="it-IT"/>
              </w:rPr>
              <w:t>“</w:t>
            </w:r>
            <w:proofErr w:type="spellStart"/>
            <w:r>
              <w:rPr>
                <w:sz w:val="20"/>
                <w:szCs w:val="20"/>
              </w:rPr>
              <w:t>Vestmoldtransgaz</w:t>
            </w:r>
            <w:proofErr w:type="spellEnd"/>
            <w:r>
              <w:rPr>
                <w:sz w:val="20"/>
                <w:szCs w:val="20"/>
              </w:rPr>
              <w:t>” și ANRE întru consolidarea  securității energetice regionale.  Pe marginea proiectului nu au identificat careva propuneri sau obiecții.</w:t>
            </w:r>
          </w:p>
        </w:tc>
        <w:tc>
          <w:tcPr>
            <w:tcW w:w="2268" w:type="dxa"/>
          </w:tcPr>
          <w:p w14:paraId="7AFBA619" w14:textId="25A8AF5B" w:rsidR="00435CAB" w:rsidRDefault="00435CAB" w:rsidP="00435CAB">
            <w:pPr>
              <w:rPr>
                <w:b/>
                <w:sz w:val="20"/>
                <w:szCs w:val="20"/>
              </w:rPr>
            </w:pPr>
            <w:r>
              <w:rPr>
                <w:b/>
                <w:sz w:val="20"/>
                <w:szCs w:val="20"/>
              </w:rPr>
              <w:t>Se acceptă</w:t>
            </w:r>
            <w:r w:rsidR="00B414CA">
              <w:rPr>
                <w:b/>
                <w:sz w:val="20"/>
                <w:szCs w:val="20"/>
              </w:rPr>
              <w:t>.</w:t>
            </w:r>
          </w:p>
        </w:tc>
      </w:tr>
      <w:tr w:rsidR="00435CAB" w:rsidRPr="000D04A6" w14:paraId="2D3BE167" w14:textId="77777777" w:rsidTr="00261B8C">
        <w:trPr>
          <w:trHeight w:val="704"/>
        </w:trPr>
        <w:tc>
          <w:tcPr>
            <w:tcW w:w="562" w:type="dxa"/>
            <w:vAlign w:val="center"/>
          </w:tcPr>
          <w:p w14:paraId="68084472" w14:textId="0242503E" w:rsidR="00435CAB" w:rsidRPr="000D04A6" w:rsidRDefault="00435CAB" w:rsidP="00435CAB">
            <w:pPr>
              <w:jc w:val="center"/>
              <w:rPr>
                <w:b/>
                <w:sz w:val="20"/>
                <w:szCs w:val="20"/>
              </w:rPr>
            </w:pPr>
          </w:p>
        </w:tc>
        <w:tc>
          <w:tcPr>
            <w:tcW w:w="1985" w:type="dxa"/>
          </w:tcPr>
          <w:p w14:paraId="0BE33A97" w14:textId="1F557683" w:rsidR="00435CAB" w:rsidRPr="00B414CA" w:rsidRDefault="00435CAB" w:rsidP="00435CAB">
            <w:pPr>
              <w:rPr>
                <w:sz w:val="20"/>
                <w:szCs w:val="20"/>
              </w:rPr>
            </w:pPr>
            <w:r w:rsidRPr="00B414CA">
              <w:rPr>
                <w:sz w:val="20"/>
                <w:szCs w:val="20"/>
              </w:rPr>
              <w:t xml:space="preserve">SRL </w:t>
            </w:r>
            <w:r w:rsidRPr="00B414CA">
              <w:rPr>
                <w:sz w:val="20"/>
                <w:szCs w:val="20"/>
                <w:lang w:val="en-US"/>
              </w:rPr>
              <w:t>“Engineering Group</w:t>
            </w:r>
            <w:r w:rsidRPr="00B414CA">
              <w:rPr>
                <w:sz w:val="20"/>
                <w:szCs w:val="20"/>
              </w:rPr>
              <w:t>”</w:t>
            </w:r>
          </w:p>
          <w:p w14:paraId="2036BFE1" w14:textId="2695EC4E" w:rsidR="00435CAB" w:rsidRPr="00B414CA" w:rsidRDefault="00435CAB" w:rsidP="00435CAB">
            <w:pPr>
              <w:rPr>
                <w:sz w:val="20"/>
                <w:szCs w:val="20"/>
              </w:rPr>
            </w:pPr>
            <w:r w:rsidRPr="00B414CA">
              <w:rPr>
                <w:sz w:val="20"/>
                <w:szCs w:val="20"/>
              </w:rPr>
              <w:t>aviz nr. 176 din 17.10.2025</w:t>
            </w:r>
          </w:p>
        </w:tc>
        <w:tc>
          <w:tcPr>
            <w:tcW w:w="9781" w:type="dxa"/>
            <w:gridSpan w:val="2"/>
          </w:tcPr>
          <w:p w14:paraId="6F6BD4E1" w14:textId="65592CC0" w:rsidR="00435CAB" w:rsidRPr="00B414CA" w:rsidRDefault="00435CAB" w:rsidP="00261B8C">
            <w:pPr>
              <w:jc w:val="center"/>
              <w:rPr>
                <w:sz w:val="20"/>
                <w:szCs w:val="20"/>
              </w:rPr>
            </w:pPr>
            <w:r w:rsidRPr="00B414CA">
              <w:rPr>
                <w:sz w:val="20"/>
                <w:szCs w:val="20"/>
              </w:rPr>
              <w:t xml:space="preserve">Apreciază eforturile depuse de SRL </w:t>
            </w:r>
            <w:r w:rsidRPr="00B414CA">
              <w:rPr>
                <w:sz w:val="20"/>
                <w:szCs w:val="20"/>
                <w:lang w:val="it-IT"/>
              </w:rPr>
              <w:t>“</w:t>
            </w:r>
            <w:proofErr w:type="spellStart"/>
            <w:r w:rsidRPr="00B414CA">
              <w:rPr>
                <w:sz w:val="20"/>
                <w:szCs w:val="20"/>
              </w:rPr>
              <w:t>Vestmoldtransgaz</w:t>
            </w:r>
            <w:proofErr w:type="spellEnd"/>
            <w:r w:rsidRPr="00B414CA">
              <w:rPr>
                <w:sz w:val="20"/>
                <w:szCs w:val="20"/>
              </w:rPr>
              <w:t>” și ANRE întru consolidarea  securității energetice regionale.  Pe marginea proiectului nu au identificat careva propuneri sau obiecții.</w:t>
            </w:r>
          </w:p>
        </w:tc>
        <w:tc>
          <w:tcPr>
            <w:tcW w:w="2268" w:type="dxa"/>
          </w:tcPr>
          <w:p w14:paraId="16D2BA25" w14:textId="6E8E6AEE" w:rsidR="00435CAB" w:rsidRDefault="00435CAB" w:rsidP="00435CAB">
            <w:pPr>
              <w:rPr>
                <w:b/>
                <w:sz w:val="20"/>
                <w:szCs w:val="20"/>
              </w:rPr>
            </w:pPr>
            <w:r>
              <w:rPr>
                <w:b/>
                <w:sz w:val="20"/>
                <w:szCs w:val="20"/>
              </w:rPr>
              <w:t>Se acceptă</w:t>
            </w:r>
            <w:r w:rsidR="00B414CA">
              <w:rPr>
                <w:b/>
                <w:sz w:val="20"/>
                <w:szCs w:val="20"/>
              </w:rPr>
              <w:t>.</w:t>
            </w:r>
          </w:p>
        </w:tc>
      </w:tr>
      <w:tr w:rsidR="00B414CA" w:rsidRPr="000D04A6" w14:paraId="4ECCAEE9" w14:textId="77777777" w:rsidTr="00261B8C">
        <w:trPr>
          <w:trHeight w:val="704"/>
        </w:trPr>
        <w:tc>
          <w:tcPr>
            <w:tcW w:w="562" w:type="dxa"/>
            <w:vAlign w:val="center"/>
          </w:tcPr>
          <w:p w14:paraId="627BD873" w14:textId="77777777" w:rsidR="00B414CA" w:rsidRPr="000D04A6" w:rsidRDefault="00B414CA" w:rsidP="00435CAB">
            <w:pPr>
              <w:jc w:val="center"/>
              <w:rPr>
                <w:b/>
                <w:sz w:val="20"/>
                <w:szCs w:val="20"/>
              </w:rPr>
            </w:pPr>
          </w:p>
        </w:tc>
        <w:tc>
          <w:tcPr>
            <w:tcW w:w="1985" w:type="dxa"/>
          </w:tcPr>
          <w:p w14:paraId="442B9928" w14:textId="390456B2" w:rsidR="00B414CA" w:rsidRPr="00B414CA" w:rsidRDefault="00B414CA" w:rsidP="00B414CA">
            <w:pPr>
              <w:rPr>
                <w:sz w:val="20"/>
                <w:szCs w:val="20"/>
              </w:rPr>
            </w:pPr>
            <w:r w:rsidRPr="00B414CA">
              <w:rPr>
                <w:sz w:val="20"/>
                <w:szCs w:val="20"/>
              </w:rPr>
              <w:t xml:space="preserve">Ședința </w:t>
            </w:r>
            <w:r w:rsidRPr="00B414CA">
              <w:rPr>
                <w:sz w:val="20"/>
                <w:szCs w:val="20"/>
              </w:rPr>
              <w:t>23.09.2025</w:t>
            </w:r>
          </w:p>
        </w:tc>
        <w:tc>
          <w:tcPr>
            <w:tcW w:w="9781" w:type="dxa"/>
            <w:gridSpan w:val="2"/>
          </w:tcPr>
          <w:p w14:paraId="1AC88D4F" w14:textId="56C7F355" w:rsidR="00B414CA" w:rsidRPr="00B414CA" w:rsidRDefault="00B414CA" w:rsidP="00B414CA">
            <w:pPr>
              <w:pStyle w:val="ListParagraph"/>
              <w:tabs>
                <w:tab w:val="left" w:pos="993"/>
              </w:tabs>
              <w:spacing w:after="0" w:line="240" w:lineRule="auto"/>
              <w:ind w:left="0"/>
              <w:rPr>
                <w:rFonts w:ascii="Times New Roman" w:hAnsi="Times New Roman"/>
                <w:sz w:val="20"/>
                <w:szCs w:val="20"/>
              </w:rPr>
            </w:pPr>
            <w:r w:rsidRPr="00B414CA">
              <w:rPr>
                <w:rFonts w:ascii="Times New Roman" w:hAnsi="Times New Roman"/>
                <w:sz w:val="20"/>
                <w:szCs w:val="20"/>
              </w:rPr>
              <w:t xml:space="preserve">La </w:t>
            </w:r>
            <w:proofErr w:type="spellStart"/>
            <w:r w:rsidRPr="00B414CA">
              <w:rPr>
                <w:rFonts w:ascii="Times New Roman" w:hAnsi="Times New Roman"/>
                <w:sz w:val="20"/>
                <w:szCs w:val="20"/>
              </w:rPr>
              <w:t>ședința</w:t>
            </w:r>
            <w:proofErr w:type="spellEnd"/>
            <w:r w:rsidRPr="00B414CA">
              <w:rPr>
                <w:rFonts w:ascii="Times New Roman" w:hAnsi="Times New Roman"/>
                <w:sz w:val="20"/>
                <w:szCs w:val="20"/>
              </w:rPr>
              <w:t xml:space="preserve"> </w:t>
            </w:r>
            <w:proofErr w:type="spellStart"/>
            <w:r w:rsidRPr="00B414CA">
              <w:rPr>
                <w:rFonts w:ascii="Times New Roman" w:hAnsi="Times New Roman"/>
                <w:sz w:val="20"/>
                <w:szCs w:val="20"/>
              </w:rPr>
              <w:t>comună</w:t>
            </w:r>
            <w:proofErr w:type="spellEnd"/>
            <w:r w:rsidRPr="00B414CA">
              <w:rPr>
                <w:rFonts w:ascii="Times New Roman" w:hAnsi="Times New Roman"/>
                <w:sz w:val="20"/>
                <w:szCs w:val="20"/>
              </w:rPr>
              <w:t xml:space="preserve"> </w:t>
            </w:r>
            <w:proofErr w:type="spellStart"/>
            <w:r w:rsidRPr="00B414CA">
              <w:rPr>
                <w:rFonts w:ascii="Times New Roman" w:hAnsi="Times New Roman"/>
                <w:sz w:val="20"/>
                <w:szCs w:val="20"/>
              </w:rPr>
              <w:t>dintre</w:t>
            </w:r>
            <w:proofErr w:type="spellEnd"/>
            <w:r w:rsidRPr="00B414CA">
              <w:rPr>
                <w:rFonts w:ascii="Times New Roman" w:hAnsi="Times New Roman"/>
                <w:sz w:val="20"/>
                <w:szCs w:val="20"/>
              </w:rPr>
              <w:t xml:space="preserve"> </w:t>
            </w:r>
            <w:proofErr w:type="spellStart"/>
            <w:r w:rsidRPr="00B414CA">
              <w:rPr>
                <w:rFonts w:ascii="Times New Roman" w:hAnsi="Times New Roman"/>
                <w:sz w:val="20"/>
                <w:szCs w:val="20"/>
              </w:rPr>
              <w:t>cele</w:t>
            </w:r>
            <w:proofErr w:type="spellEnd"/>
            <w:r w:rsidRPr="00B414CA">
              <w:rPr>
                <w:rFonts w:ascii="Times New Roman" w:hAnsi="Times New Roman"/>
                <w:sz w:val="20"/>
                <w:szCs w:val="20"/>
              </w:rPr>
              <w:t xml:space="preserve"> 5 </w:t>
            </w:r>
            <w:proofErr w:type="spellStart"/>
            <w:r w:rsidRPr="00B414CA">
              <w:rPr>
                <w:rFonts w:ascii="Times New Roman" w:hAnsi="Times New Roman"/>
                <w:sz w:val="20"/>
                <w:szCs w:val="20"/>
              </w:rPr>
              <w:t>autorități</w:t>
            </w:r>
            <w:proofErr w:type="spellEnd"/>
            <w:r w:rsidRPr="00B414CA">
              <w:rPr>
                <w:rFonts w:ascii="Times New Roman" w:hAnsi="Times New Roman"/>
                <w:sz w:val="20"/>
                <w:szCs w:val="20"/>
              </w:rPr>
              <w:t xml:space="preserve"> </w:t>
            </w:r>
            <w:proofErr w:type="spellStart"/>
            <w:r w:rsidRPr="00B414CA">
              <w:rPr>
                <w:rFonts w:ascii="Times New Roman" w:hAnsi="Times New Roman"/>
                <w:sz w:val="20"/>
                <w:szCs w:val="20"/>
              </w:rPr>
              <w:t>naționale</w:t>
            </w:r>
            <w:proofErr w:type="spellEnd"/>
            <w:r w:rsidRPr="00B414CA">
              <w:rPr>
                <w:rFonts w:ascii="Times New Roman" w:hAnsi="Times New Roman"/>
                <w:sz w:val="20"/>
                <w:szCs w:val="20"/>
              </w:rPr>
              <w:t xml:space="preserve"> de </w:t>
            </w:r>
            <w:proofErr w:type="spellStart"/>
            <w:r w:rsidRPr="00B414CA">
              <w:rPr>
                <w:rFonts w:ascii="Times New Roman" w:hAnsi="Times New Roman"/>
                <w:sz w:val="20"/>
                <w:szCs w:val="20"/>
              </w:rPr>
              <w:t>reglementare</w:t>
            </w:r>
            <w:proofErr w:type="spellEnd"/>
            <w:r w:rsidRPr="00B414CA">
              <w:rPr>
                <w:rFonts w:ascii="Times New Roman" w:hAnsi="Times New Roman"/>
                <w:sz w:val="20"/>
                <w:szCs w:val="20"/>
              </w:rPr>
              <w:t xml:space="preserve">, </w:t>
            </w:r>
            <w:proofErr w:type="spellStart"/>
            <w:r w:rsidRPr="00B414CA">
              <w:rPr>
                <w:rFonts w:ascii="Times New Roman" w:hAnsi="Times New Roman"/>
                <w:sz w:val="20"/>
                <w:szCs w:val="20"/>
              </w:rPr>
              <w:t>reprezentanții</w:t>
            </w:r>
            <w:proofErr w:type="spellEnd"/>
            <w:r w:rsidRPr="00B414CA">
              <w:rPr>
                <w:rFonts w:ascii="Times New Roman" w:hAnsi="Times New Roman"/>
                <w:sz w:val="20"/>
                <w:szCs w:val="20"/>
              </w:rPr>
              <w:t xml:space="preserve"> </w:t>
            </w:r>
            <w:proofErr w:type="spellStart"/>
            <w:r w:rsidRPr="00B414CA">
              <w:rPr>
                <w:rFonts w:ascii="Times New Roman" w:hAnsi="Times New Roman"/>
                <w:sz w:val="20"/>
                <w:szCs w:val="20"/>
              </w:rPr>
              <w:t>Comisiei</w:t>
            </w:r>
            <w:proofErr w:type="spellEnd"/>
            <w:r w:rsidRPr="00B414CA">
              <w:rPr>
                <w:rFonts w:ascii="Times New Roman" w:hAnsi="Times New Roman"/>
                <w:sz w:val="20"/>
                <w:szCs w:val="20"/>
              </w:rPr>
              <w:t xml:space="preserve"> </w:t>
            </w:r>
            <w:proofErr w:type="spellStart"/>
            <w:r w:rsidRPr="00B414CA">
              <w:rPr>
                <w:rFonts w:ascii="Times New Roman" w:hAnsi="Times New Roman"/>
                <w:sz w:val="20"/>
                <w:szCs w:val="20"/>
              </w:rPr>
              <w:t>Europene</w:t>
            </w:r>
            <w:proofErr w:type="spellEnd"/>
            <w:r w:rsidRPr="00B414CA">
              <w:rPr>
                <w:rFonts w:ascii="Times New Roman" w:hAnsi="Times New Roman"/>
                <w:sz w:val="20"/>
                <w:szCs w:val="20"/>
              </w:rPr>
              <w:t xml:space="preserve"> (DGENER)</w:t>
            </w:r>
            <w:r w:rsidRPr="00B414CA">
              <w:rPr>
                <w:rFonts w:ascii="Times New Roman" w:hAnsi="Times New Roman"/>
                <w:sz w:val="20"/>
                <w:szCs w:val="20"/>
              </w:rPr>
              <w:t>,</w:t>
            </w:r>
            <w:r w:rsidRPr="00B414CA">
              <w:rPr>
                <w:rFonts w:ascii="Times New Roman" w:hAnsi="Times New Roman"/>
                <w:sz w:val="20"/>
                <w:szCs w:val="20"/>
              </w:rPr>
              <w:t xml:space="preserve"> </w:t>
            </w:r>
            <w:proofErr w:type="spellStart"/>
            <w:r w:rsidRPr="00B414CA">
              <w:rPr>
                <w:rFonts w:ascii="Times New Roman" w:hAnsi="Times New Roman"/>
                <w:sz w:val="20"/>
                <w:szCs w:val="20"/>
              </w:rPr>
              <w:t>Comunității</w:t>
            </w:r>
            <w:proofErr w:type="spellEnd"/>
            <w:r w:rsidRPr="00B414CA">
              <w:rPr>
                <w:rFonts w:ascii="Times New Roman" w:hAnsi="Times New Roman"/>
                <w:sz w:val="20"/>
                <w:szCs w:val="20"/>
              </w:rPr>
              <w:t xml:space="preserve"> </w:t>
            </w:r>
            <w:proofErr w:type="spellStart"/>
            <w:r w:rsidRPr="00B414CA">
              <w:rPr>
                <w:rFonts w:ascii="Times New Roman" w:hAnsi="Times New Roman"/>
                <w:sz w:val="20"/>
                <w:szCs w:val="20"/>
              </w:rPr>
              <w:t>Energetice</w:t>
            </w:r>
            <w:proofErr w:type="spellEnd"/>
            <w:r w:rsidRPr="00B414CA">
              <w:rPr>
                <w:rFonts w:ascii="Times New Roman" w:hAnsi="Times New Roman"/>
                <w:sz w:val="20"/>
                <w:szCs w:val="20"/>
              </w:rPr>
              <w:t xml:space="preserve"> </w:t>
            </w:r>
            <w:proofErr w:type="spellStart"/>
            <w:r w:rsidRPr="00B414CA">
              <w:rPr>
                <w:rFonts w:ascii="Times New Roman" w:hAnsi="Times New Roman"/>
                <w:sz w:val="20"/>
                <w:szCs w:val="20"/>
              </w:rPr>
              <w:t>și</w:t>
            </w:r>
            <w:proofErr w:type="spellEnd"/>
            <w:r w:rsidRPr="00B414CA">
              <w:rPr>
                <w:rFonts w:ascii="Times New Roman" w:hAnsi="Times New Roman"/>
                <w:sz w:val="20"/>
                <w:szCs w:val="20"/>
              </w:rPr>
              <w:t xml:space="preserve"> ACER s-a </w:t>
            </w:r>
            <w:proofErr w:type="spellStart"/>
            <w:r w:rsidRPr="00B414CA">
              <w:rPr>
                <w:rFonts w:ascii="Times New Roman" w:hAnsi="Times New Roman"/>
                <w:sz w:val="20"/>
                <w:szCs w:val="20"/>
              </w:rPr>
              <w:t>agreat</w:t>
            </w:r>
            <w:proofErr w:type="spellEnd"/>
            <w:r w:rsidRPr="00B414CA">
              <w:rPr>
                <w:rFonts w:ascii="Times New Roman" w:hAnsi="Times New Roman"/>
                <w:sz w:val="20"/>
                <w:szCs w:val="20"/>
              </w:rPr>
              <w:t xml:space="preserve"> </w:t>
            </w:r>
            <w:proofErr w:type="spellStart"/>
            <w:r w:rsidRPr="00B414CA">
              <w:rPr>
                <w:rFonts w:ascii="Times New Roman" w:hAnsi="Times New Roman"/>
                <w:sz w:val="20"/>
                <w:szCs w:val="20"/>
              </w:rPr>
              <w:t>prelungirea</w:t>
            </w:r>
            <w:proofErr w:type="spellEnd"/>
            <w:r w:rsidRPr="00B414CA">
              <w:rPr>
                <w:rFonts w:ascii="Times New Roman" w:hAnsi="Times New Roman"/>
                <w:sz w:val="20"/>
                <w:szCs w:val="20"/>
              </w:rPr>
              <w:t xml:space="preserve"> </w:t>
            </w:r>
            <w:proofErr w:type="spellStart"/>
            <w:r w:rsidRPr="00B414CA">
              <w:rPr>
                <w:rFonts w:ascii="Times New Roman" w:hAnsi="Times New Roman"/>
                <w:sz w:val="20"/>
                <w:szCs w:val="20"/>
              </w:rPr>
              <w:t>produsul</w:t>
            </w:r>
            <w:proofErr w:type="spellEnd"/>
            <w:r w:rsidRPr="00B414CA">
              <w:rPr>
                <w:rFonts w:ascii="Times New Roman" w:hAnsi="Times New Roman"/>
                <w:sz w:val="20"/>
                <w:szCs w:val="20"/>
              </w:rPr>
              <w:t xml:space="preserve"> de capacitate </w:t>
            </w:r>
            <w:r w:rsidRPr="00B414CA">
              <w:rPr>
                <w:rFonts w:ascii="Times New Roman" w:hAnsi="Times New Roman"/>
                <w:sz w:val="20"/>
                <w:szCs w:val="20"/>
              </w:rPr>
              <w:t>,,</w:t>
            </w:r>
            <w:proofErr w:type="spellStart"/>
            <w:r w:rsidRPr="00B414CA">
              <w:rPr>
                <w:rFonts w:ascii="Times New Roman" w:hAnsi="Times New Roman"/>
                <w:sz w:val="20"/>
                <w:szCs w:val="20"/>
              </w:rPr>
              <w:t>Ruta</w:t>
            </w:r>
            <w:proofErr w:type="spellEnd"/>
            <w:r w:rsidRPr="00B414CA">
              <w:rPr>
                <w:rFonts w:ascii="Times New Roman" w:hAnsi="Times New Roman"/>
                <w:sz w:val="20"/>
                <w:szCs w:val="20"/>
              </w:rPr>
              <w:t xml:space="preserve"> 1</w:t>
            </w:r>
            <w:r w:rsidRPr="00B414CA">
              <w:rPr>
                <w:rFonts w:ascii="Times New Roman" w:hAnsi="Times New Roman"/>
                <w:sz w:val="20"/>
                <w:szCs w:val="20"/>
              </w:rPr>
              <w:t>”</w:t>
            </w:r>
            <w:r w:rsidRPr="00B414CA">
              <w:rPr>
                <w:rFonts w:ascii="Times New Roman" w:hAnsi="Times New Roman"/>
                <w:sz w:val="20"/>
                <w:szCs w:val="20"/>
              </w:rPr>
              <w:t xml:space="preserve"> </w:t>
            </w:r>
            <w:proofErr w:type="spellStart"/>
            <w:r w:rsidRPr="00B414CA">
              <w:rPr>
                <w:rFonts w:ascii="Times New Roman" w:hAnsi="Times New Roman"/>
                <w:sz w:val="20"/>
                <w:szCs w:val="20"/>
              </w:rPr>
              <w:t>pentru</w:t>
            </w:r>
            <w:proofErr w:type="spellEnd"/>
            <w:r w:rsidRPr="00B414CA">
              <w:rPr>
                <w:rFonts w:ascii="Times New Roman" w:hAnsi="Times New Roman"/>
                <w:sz w:val="20"/>
                <w:szCs w:val="20"/>
              </w:rPr>
              <w:t xml:space="preserve"> o </w:t>
            </w:r>
            <w:proofErr w:type="spellStart"/>
            <w:r w:rsidRPr="00B414CA">
              <w:rPr>
                <w:rFonts w:ascii="Times New Roman" w:hAnsi="Times New Roman"/>
                <w:sz w:val="20"/>
                <w:szCs w:val="20"/>
              </w:rPr>
              <w:t>perioadă</w:t>
            </w:r>
            <w:proofErr w:type="spellEnd"/>
            <w:r w:rsidRPr="00B414CA">
              <w:rPr>
                <w:rFonts w:ascii="Times New Roman" w:hAnsi="Times New Roman"/>
                <w:sz w:val="20"/>
                <w:szCs w:val="20"/>
              </w:rPr>
              <w:t xml:space="preserve"> de 6 </w:t>
            </w:r>
            <w:proofErr w:type="spellStart"/>
            <w:r w:rsidRPr="00B414CA">
              <w:rPr>
                <w:rFonts w:ascii="Times New Roman" w:hAnsi="Times New Roman"/>
                <w:sz w:val="20"/>
                <w:szCs w:val="20"/>
              </w:rPr>
              <w:t>luni</w:t>
            </w:r>
            <w:proofErr w:type="spellEnd"/>
            <w:r w:rsidRPr="00B414CA">
              <w:rPr>
                <w:rFonts w:ascii="Times New Roman" w:hAnsi="Times New Roman"/>
                <w:sz w:val="20"/>
                <w:szCs w:val="20"/>
              </w:rPr>
              <w:t xml:space="preserve">, </w:t>
            </w:r>
            <w:bookmarkStart w:id="0" w:name="_GoBack"/>
            <w:bookmarkEnd w:id="0"/>
            <w:r w:rsidRPr="00B414CA">
              <w:rPr>
                <w:rFonts w:ascii="Times New Roman" w:hAnsi="Times New Roman"/>
                <w:sz w:val="20"/>
                <w:szCs w:val="20"/>
              </w:rPr>
              <w:t>(</w:t>
            </w:r>
            <w:proofErr w:type="spellStart"/>
            <w:r w:rsidRPr="00B414CA">
              <w:rPr>
                <w:rFonts w:ascii="Times New Roman" w:hAnsi="Times New Roman"/>
                <w:sz w:val="20"/>
                <w:szCs w:val="20"/>
              </w:rPr>
              <w:t>noiembrie</w:t>
            </w:r>
            <w:proofErr w:type="spellEnd"/>
            <w:r w:rsidRPr="00B414CA">
              <w:rPr>
                <w:rFonts w:ascii="Times New Roman" w:hAnsi="Times New Roman"/>
                <w:sz w:val="20"/>
                <w:szCs w:val="20"/>
              </w:rPr>
              <w:t xml:space="preserve"> 2025 - </w:t>
            </w:r>
            <w:proofErr w:type="spellStart"/>
            <w:r w:rsidRPr="00B414CA">
              <w:rPr>
                <w:rFonts w:ascii="Times New Roman" w:hAnsi="Times New Roman"/>
                <w:sz w:val="20"/>
                <w:szCs w:val="20"/>
              </w:rPr>
              <w:t>aprilie</w:t>
            </w:r>
            <w:proofErr w:type="spellEnd"/>
            <w:r w:rsidRPr="00B414CA">
              <w:rPr>
                <w:rFonts w:ascii="Times New Roman" w:hAnsi="Times New Roman"/>
                <w:sz w:val="20"/>
                <w:szCs w:val="20"/>
              </w:rPr>
              <w:t xml:space="preserve"> 2026).</w:t>
            </w:r>
          </w:p>
          <w:p w14:paraId="579F6427" w14:textId="77777777" w:rsidR="00B414CA" w:rsidRPr="00B414CA" w:rsidRDefault="00B414CA" w:rsidP="00261B8C">
            <w:pPr>
              <w:jc w:val="center"/>
              <w:rPr>
                <w:sz w:val="20"/>
                <w:szCs w:val="20"/>
              </w:rPr>
            </w:pPr>
          </w:p>
        </w:tc>
        <w:tc>
          <w:tcPr>
            <w:tcW w:w="2268" w:type="dxa"/>
          </w:tcPr>
          <w:p w14:paraId="18D21718" w14:textId="7689777D" w:rsidR="00B414CA" w:rsidRDefault="00B414CA" w:rsidP="00435CAB">
            <w:pPr>
              <w:rPr>
                <w:b/>
                <w:sz w:val="20"/>
                <w:szCs w:val="20"/>
              </w:rPr>
            </w:pPr>
            <w:r>
              <w:rPr>
                <w:b/>
                <w:sz w:val="20"/>
                <w:szCs w:val="20"/>
              </w:rPr>
              <w:t>Se acceptă</w:t>
            </w:r>
            <w:r>
              <w:rPr>
                <w:b/>
                <w:sz w:val="20"/>
                <w:szCs w:val="20"/>
              </w:rPr>
              <w:t>.</w:t>
            </w:r>
          </w:p>
        </w:tc>
      </w:tr>
    </w:tbl>
    <w:p w14:paraId="53CB7275" w14:textId="77777777" w:rsidR="008F3285" w:rsidRPr="00B34C15" w:rsidRDefault="008F3285" w:rsidP="000D04A6">
      <w:pPr>
        <w:jc w:val="both"/>
        <w:rPr>
          <w:sz w:val="20"/>
          <w:szCs w:val="20"/>
          <w:lang w:val="ro-MD"/>
        </w:rPr>
      </w:pPr>
    </w:p>
    <w:sectPr w:rsidR="008F3285" w:rsidRPr="00B34C15" w:rsidSect="005B234B">
      <w:footerReference w:type="default" r:id="rId8"/>
      <w:pgSz w:w="16838" w:h="11906" w:orient="landscape"/>
      <w:pgMar w:top="0" w:right="1134"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BB0A4" w14:textId="77777777" w:rsidR="00E540D1" w:rsidRDefault="00E540D1">
      <w:r>
        <w:separator/>
      </w:r>
    </w:p>
  </w:endnote>
  <w:endnote w:type="continuationSeparator" w:id="0">
    <w:p w14:paraId="56BE5F55" w14:textId="77777777" w:rsidR="00E540D1" w:rsidRDefault="00E5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E9857" w14:textId="1747FBEC" w:rsidR="00FE5FB5" w:rsidRDefault="00FE5FB5">
    <w:pPr>
      <w:pBdr>
        <w:top w:val="nil"/>
        <w:left w:val="nil"/>
        <w:bottom w:val="nil"/>
        <w:right w:val="nil"/>
        <w:between w:val="nil"/>
      </w:pBdr>
      <w:tabs>
        <w:tab w:val="center" w:pos="4677"/>
        <w:tab w:val="right" w:pos="9355"/>
      </w:tabs>
      <w:jc w:val="right"/>
      <w:rPr>
        <w:i/>
        <w:color w:val="000000"/>
        <w:sz w:val="22"/>
        <w:szCs w:val="22"/>
      </w:rPr>
    </w:pPr>
    <w:r>
      <w:rPr>
        <w:i/>
        <w:color w:val="000000"/>
        <w:sz w:val="22"/>
        <w:szCs w:val="22"/>
      </w:rPr>
      <w:fldChar w:fldCharType="begin"/>
    </w:r>
    <w:r>
      <w:rPr>
        <w:i/>
        <w:color w:val="000000"/>
        <w:sz w:val="22"/>
        <w:szCs w:val="22"/>
      </w:rPr>
      <w:instrText>PAGE</w:instrText>
    </w:r>
    <w:r>
      <w:rPr>
        <w:i/>
        <w:color w:val="000000"/>
        <w:sz w:val="22"/>
        <w:szCs w:val="22"/>
      </w:rPr>
      <w:fldChar w:fldCharType="separate"/>
    </w:r>
    <w:r w:rsidR="00B414CA">
      <w:rPr>
        <w:i/>
        <w:noProof/>
        <w:color w:val="000000"/>
        <w:sz w:val="22"/>
        <w:szCs w:val="22"/>
      </w:rPr>
      <w:t>2</w:t>
    </w:r>
    <w:r>
      <w:rPr>
        <w:i/>
        <w:color w:val="000000"/>
        <w:sz w:val="22"/>
        <w:szCs w:val="22"/>
      </w:rPr>
      <w:fldChar w:fldCharType="end"/>
    </w:r>
  </w:p>
  <w:p w14:paraId="2C471D3F" w14:textId="77777777" w:rsidR="00FE5FB5" w:rsidRDefault="00FE5FB5">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31EB1" w14:textId="77777777" w:rsidR="00E540D1" w:rsidRDefault="00E540D1">
      <w:r>
        <w:separator/>
      </w:r>
    </w:p>
  </w:footnote>
  <w:footnote w:type="continuationSeparator" w:id="0">
    <w:p w14:paraId="205B0218" w14:textId="77777777" w:rsidR="00E540D1" w:rsidRDefault="00E54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03FB3"/>
    <w:multiLevelType w:val="singleLevel"/>
    <w:tmpl w:val="8F403FB3"/>
    <w:lvl w:ilvl="0">
      <w:start w:val="1"/>
      <w:numFmt w:val="decimal"/>
      <w:suff w:val="space"/>
      <w:lvlText w:val="%1."/>
      <w:lvlJc w:val="left"/>
    </w:lvl>
  </w:abstractNum>
  <w:abstractNum w:abstractNumId="1" w15:restartNumberingAfterBreak="0">
    <w:nsid w:val="B6EA07DA"/>
    <w:multiLevelType w:val="singleLevel"/>
    <w:tmpl w:val="B6EA07DA"/>
    <w:lvl w:ilvl="0">
      <w:start w:val="1"/>
      <w:numFmt w:val="decimal"/>
      <w:suff w:val="space"/>
      <w:lvlText w:val="%1."/>
      <w:lvlJc w:val="left"/>
      <w:rPr>
        <w:rFonts w:hint="default"/>
        <w:b/>
        <w:bCs/>
        <w:sz w:val="24"/>
        <w:szCs w:val="24"/>
      </w:rPr>
    </w:lvl>
  </w:abstractNum>
  <w:abstractNum w:abstractNumId="2" w15:restartNumberingAfterBreak="0">
    <w:nsid w:val="D2A60381"/>
    <w:multiLevelType w:val="singleLevel"/>
    <w:tmpl w:val="D2A60381"/>
    <w:lvl w:ilvl="0">
      <w:start w:val="1"/>
      <w:numFmt w:val="decimal"/>
      <w:suff w:val="space"/>
      <w:lvlText w:val="%1."/>
      <w:lvlJc w:val="left"/>
    </w:lvl>
  </w:abstractNum>
  <w:abstractNum w:abstractNumId="3" w15:restartNumberingAfterBreak="0">
    <w:nsid w:val="0013081A"/>
    <w:multiLevelType w:val="multilevel"/>
    <w:tmpl w:val="FE081B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5D458E7"/>
    <w:multiLevelType w:val="multilevel"/>
    <w:tmpl w:val="DB169C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79056BD"/>
    <w:multiLevelType w:val="multilevel"/>
    <w:tmpl w:val="AAAE4D48"/>
    <w:lvl w:ilvl="0">
      <w:start w:val="2"/>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49E14E9"/>
    <w:multiLevelType w:val="hybridMultilevel"/>
    <w:tmpl w:val="42DA23A6"/>
    <w:lvl w:ilvl="0" w:tplc="0172B6DC">
      <w:start w:val="1"/>
      <w:numFmt w:val="decimal"/>
      <w:lvlText w:val="%1."/>
      <w:lvlJc w:val="left"/>
      <w:pPr>
        <w:ind w:left="720" w:hanging="360"/>
      </w:pPr>
      <w:rPr>
        <w:rFonts w:ascii="Times New Roman" w:hAnsi="Times New Roman" w:cs="Times New Roman"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2D2BE3"/>
    <w:multiLevelType w:val="multilevel"/>
    <w:tmpl w:val="C87E24D6"/>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8C4483A"/>
    <w:multiLevelType w:val="multilevel"/>
    <w:tmpl w:val="591E67F8"/>
    <w:lvl w:ilvl="0">
      <w:start w:val="59"/>
      <w:numFmt w:val="decimal"/>
      <w:lvlText w:val="%1."/>
      <w:lvlJc w:val="left"/>
      <w:pPr>
        <w:ind w:left="643" w:hanging="360"/>
      </w:pPr>
    </w:lvl>
    <w:lvl w:ilvl="1">
      <w:start w:val="1"/>
      <w:numFmt w:val="decimal"/>
      <w:lvlText w:val="%1.%2."/>
      <w:lvlJc w:val="left"/>
      <w:pPr>
        <w:ind w:left="906" w:hanging="480"/>
      </w:pPr>
    </w:lvl>
    <w:lvl w:ilvl="2">
      <w:start w:val="1"/>
      <w:numFmt w:val="decimal"/>
      <w:lvlText w:val="%1.%2.%3."/>
      <w:lvlJc w:val="left"/>
      <w:pPr>
        <w:ind w:left="1289" w:hanging="720"/>
      </w:pPr>
    </w:lvl>
    <w:lvl w:ilvl="3">
      <w:start w:val="1"/>
      <w:numFmt w:val="decimal"/>
      <w:lvlText w:val="%1.%2.%3.%4."/>
      <w:lvlJc w:val="left"/>
      <w:pPr>
        <w:ind w:left="1432" w:hanging="720"/>
      </w:pPr>
    </w:lvl>
    <w:lvl w:ilvl="4">
      <w:start w:val="1"/>
      <w:numFmt w:val="decimal"/>
      <w:lvlText w:val="%1.%2.%3.%4.%5."/>
      <w:lvlJc w:val="left"/>
      <w:pPr>
        <w:ind w:left="1935" w:hanging="1080"/>
      </w:pPr>
    </w:lvl>
    <w:lvl w:ilvl="5">
      <w:start w:val="1"/>
      <w:numFmt w:val="decimal"/>
      <w:lvlText w:val="%1.%2.%3.%4.%5.%6."/>
      <w:lvlJc w:val="left"/>
      <w:pPr>
        <w:ind w:left="2078" w:hanging="1080"/>
      </w:pPr>
    </w:lvl>
    <w:lvl w:ilvl="6">
      <w:start w:val="1"/>
      <w:numFmt w:val="decimal"/>
      <w:lvlText w:val="%1.%2.%3.%4.%5.%6.%7."/>
      <w:lvlJc w:val="left"/>
      <w:pPr>
        <w:ind w:left="2581" w:hanging="1439"/>
      </w:pPr>
    </w:lvl>
    <w:lvl w:ilvl="7">
      <w:start w:val="1"/>
      <w:numFmt w:val="decimal"/>
      <w:lvlText w:val="%1.%2.%3.%4.%5.%6.%7.%8."/>
      <w:lvlJc w:val="left"/>
      <w:pPr>
        <w:ind w:left="2724" w:hanging="1440"/>
      </w:pPr>
    </w:lvl>
    <w:lvl w:ilvl="8">
      <w:start w:val="1"/>
      <w:numFmt w:val="decimal"/>
      <w:lvlText w:val="%1.%2.%3.%4.%5.%6.%7.%8.%9."/>
      <w:lvlJc w:val="left"/>
      <w:pPr>
        <w:ind w:left="3227" w:hanging="1800"/>
      </w:pPr>
    </w:lvl>
  </w:abstractNum>
  <w:abstractNum w:abstractNumId="9" w15:restartNumberingAfterBreak="0">
    <w:nsid w:val="20FB0124"/>
    <w:multiLevelType w:val="multilevel"/>
    <w:tmpl w:val="02ACEF08"/>
    <w:lvl w:ilvl="0">
      <w:start w:val="58"/>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2153024"/>
    <w:multiLevelType w:val="hybridMultilevel"/>
    <w:tmpl w:val="885242FE"/>
    <w:lvl w:ilvl="0" w:tplc="7F10FEB2">
      <w:start w:val="2"/>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95B409E"/>
    <w:multiLevelType w:val="hybridMultilevel"/>
    <w:tmpl w:val="C4A2FA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8043771"/>
    <w:multiLevelType w:val="hybridMultilevel"/>
    <w:tmpl w:val="9C5A9CB8"/>
    <w:lvl w:ilvl="0" w:tplc="A41A144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65B4B"/>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4B5E8A"/>
    <w:multiLevelType w:val="multilevel"/>
    <w:tmpl w:val="19E8202A"/>
    <w:lvl w:ilvl="0">
      <w:start w:val="48"/>
      <w:numFmt w:val="decimal"/>
      <w:lvlText w:val="%1."/>
      <w:lvlJc w:val="left"/>
      <w:pPr>
        <w:ind w:left="480" w:hanging="480"/>
      </w:pPr>
    </w:lvl>
    <w:lvl w:ilvl="1">
      <w:start w:val="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0C341BD"/>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5E6D00"/>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0578B8"/>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6A3015"/>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B9074E"/>
    <w:multiLevelType w:val="multilevel"/>
    <w:tmpl w:val="B3CE7540"/>
    <w:lvl w:ilvl="0">
      <w:start w:val="15"/>
      <w:numFmt w:val="decimal"/>
      <w:lvlText w:val="%1."/>
      <w:lvlJc w:val="left"/>
      <w:pPr>
        <w:ind w:left="510" w:hanging="510"/>
      </w:pPr>
      <w:rPr>
        <w:rFonts w:hint="default"/>
      </w:rPr>
    </w:lvl>
    <w:lvl w:ilvl="1">
      <w:start w:val="17"/>
      <w:numFmt w:val="decimal"/>
      <w:lvlText w:val="%1.%2."/>
      <w:lvlJc w:val="left"/>
      <w:pPr>
        <w:ind w:left="1077"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2D3E19"/>
    <w:multiLevelType w:val="hybridMultilevel"/>
    <w:tmpl w:val="578AC0C6"/>
    <w:lvl w:ilvl="0" w:tplc="F5F8EF1A">
      <w:start w:val="1"/>
      <w:numFmt w:val="decimal"/>
      <w:lvlText w:val="%1)"/>
      <w:lvlJc w:val="left"/>
      <w:pPr>
        <w:ind w:left="360" w:hanging="360"/>
      </w:pPr>
      <w:rPr>
        <w:rFonts w:eastAsia="Times New Roman" w:hint="default"/>
        <w:b/>
        <w:i w:val="0"/>
      </w:rPr>
    </w:lvl>
    <w:lvl w:ilvl="1" w:tplc="04090019" w:tentative="1">
      <w:start w:val="1"/>
      <w:numFmt w:val="lowerLetter"/>
      <w:lvlText w:val="%2."/>
      <w:lvlJc w:val="left"/>
      <w:pPr>
        <w:ind w:left="730" w:hanging="360"/>
      </w:pPr>
    </w:lvl>
    <w:lvl w:ilvl="2" w:tplc="0409001B" w:tentative="1">
      <w:start w:val="1"/>
      <w:numFmt w:val="lowerRoman"/>
      <w:lvlText w:val="%3."/>
      <w:lvlJc w:val="right"/>
      <w:pPr>
        <w:ind w:left="1450" w:hanging="180"/>
      </w:pPr>
    </w:lvl>
    <w:lvl w:ilvl="3" w:tplc="0409000F" w:tentative="1">
      <w:start w:val="1"/>
      <w:numFmt w:val="decimal"/>
      <w:lvlText w:val="%4."/>
      <w:lvlJc w:val="left"/>
      <w:pPr>
        <w:ind w:left="2170" w:hanging="360"/>
      </w:pPr>
    </w:lvl>
    <w:lvl w:ilvl="4" w:tplc="04090019" w:tentative="1">
      <w:start w:val="1"/>
      <w:numFmt w:val="lowerLetter"/>
      <w:lvlText w:val="%5."/>
      <w:lvlJc w:val="left"/>
      <w:pPr>
        <w:ind w:left="2890" w:hanging="360"/>
      </w:pPr>
    </w:lvl>
    <w:lvl w:ilvl="5" w:tplc="0409001B" w:tentative="1">
      <w:start w:val="1"/>
      <w:numFmt w:val="lowerRoman"/>
      <w:lvlText w:val="%6."/>
      <w:lvlJc w:val="right"/>
      <w:pPr>
        <w:ind w:left="3610" w:hanging="180"/>
      </w:pPr>
    </w:lvl>
    <w:lvl w:ilvl="6" w:tplc="0409000F" w:tentative="1">
      <w:start w:val="1"/>
      <w:numFmt w:val="decimal"/>
      <w:lvlText w:val="%7."/>
      <w:lvlJc w:val="left"/>
      <w:pPr>
        <w:ind w:left="4330" w:hanging="360"/>
      </w:pPr>
    </w:lvl>
    <w:lvl w:ilvl="7" w:tplc="04090019" w:tentative="1">
      <w:start w:val="1"/>
      <w:numFmt w:val="lowerLetter"/>
      <w:lvlText w:val="%8."/>
      <w:lvlJc w:val="left"/>
      <w:pPr>
        <w:ind w:left="5050" w:hanging="360"/>
      </w:pPr>
    </w:lvl>
    <w:lvl w:ilvl="8" w:tplc="0409001B" w:tentative="1">
      <w:start w:val="1"/>
      <w:numFmt w:val="lowerRoman"/>
      <w:lvlText w:val="%9."/>
      <w:lvlJc w:val="right"/>
      <w:pPr>
        <w:ind w:left="5770" w:hanging="180"/>
      </w:pPr>
    </w:lvl>
  </w:abstractNum>
  <w:abstractNum w:abstractNumId="21" w15:restartNumberingAfterBreak="0">
    <w:nsid w:val="53801F72"/>
    <w:multiLevelType w:val="hybridMultilevel"/>
    <w:tmpl w:val="3DEACC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389654F"/>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16119A"/>
    <w:multiLevelType w:val="multilevel"/>
    <w:tmpl w:val="DB0AC56A"/>
    <w:lvl w:ilvl="0">
      <w:start w:val="5"/>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5C492339"/>
    <w:multiLevelType w:val="hybridMultilevel"/>
    <w:tmpl w:val="658C169A"/>
    <w:lvl w:ilvl="0" w:tplc="5E9A946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877737"/>
    <w:multiLevelType w:val="multilevel"/>
    <w:tmpl w:val="9B22EA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9A21C95"/>
    <w:multiLevelType w:val="multilevel"/>
    <w:tmpl w:val="5BEAA9A8"/>
    <w:lvl w:ilvl="0">
      <w:start w:val="48"/>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A171284"/>
    <w:multiLevelType w:val="hybridMultilevel"/>
    <w:tmpl w:val="6ADE3140"/>
    <w:lvl w:ilvl="0" w:tplc="B7D619FE">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D8F1E3C"/>
    <w:multiLevelType w:val="multilevel"/>
    <w:tmpl w:val="5926694A"/>
    <w:lvl w:ilvl="0">
      <w:start w:val="15"/>
      <w:numFmt w:val="decimal"/>
      <w:lvlText w:val="%1"/>
      <w:lvlJc w:val="left"/>
      <w:pPr>
        <w:ind w:left="540" w:hanging="540"/>
      </w:pPr>
      <w:rPr>
        <w:rFonts w:hint="default"/>
      </w:rPr>
    </w:lvl>
    <w:lvl w:ilvl="1">
      <w:start w:val="1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7F077E34"/>
    <w:multiLevelType w:val="multilevel"/>
    <w:tmpl w:val="B32E8830"/>
    <w:lvl w:ilvl="0">
      <w:start w:val="1"/>
      <w:numFmt w:val="decimal"/>
      <w:lvlText w:val="%1."/>
      <w:lvlJc w:val="left"/>
      <w:pPr>
        <w:ind w:left="643" w:hanging="360"/>
      </w:pPr>
      <w:rPr>
        <w:b/>
        <w:color w:val="000000"/>
        <w:sz w:val="24"/>
        <w:szCs w:val="24"/>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8"/>
  </w:num>
  <w:num w:numId="3">
    <w:abstractNumId w:val="7"/>
  </w:num>
  <w:num w:numId="4">
    <w:abstractNumId w:val="14"/>
  </w:num>
  <w:num w:numId="5">
    <w:abstractNumId w:val="9"/>
  </w:num>
  <w:num w:numId="6">
    <w:abstractNumId w:val="23"/>
  </w:num>
  <w:num w:numId="7">
    <w:abstractNumId w:val="4"/>
  </w:num>
  <w:num w:numId="8">
    <w:abstractNumId w:val="25"/>
  </w:num>
  <w:num w:numId="9">
    <w:abstractNumId w:val="3"/>
  </w:num>
  <w:num w:numId="10">
    <w:abstractNumId w:val="29"/>
  </w:num>
  <w:num w:numId="11">
    <w:abstractNumId w:val="5"/>
  </w:num>
  <w:num w:numId="12">
    <w:abstractNumId w:val="22"/>
  </w:num>
  <w:num w:numId="13">
    <w:abstractNumId w:val="28"/>
  </w:num>
  <w:num w:numId="14">
    <w:abstractNumId w:val="17"/>
  </w:num>
  <w:num w:numId="15">
    <w:abstractNumId w:val="13"/>
  </w:num>
  <w:num w:numId="16">
    <w:abstractNumId w:val="19"/>
  </w:num>
  <w:num w:numId="17">
    <w:abstractNumId w:val="18"/>
  </w:num>
  <w:num w:numId="18">
    <w:abstractNumId w:val="16"/>
  </w:num>
  <w:num w:numId="19">
    <w:abstractNumId w:val="15"/>
  </w:num>
  <w:num w:numId="20">
    <w:abstractNumId w:val="1"/>
  </w:num>
  <w:num w:numId="21">
    <w:abstractNumId w:val="2"/>
  </w:num>
  <w:num w:numId="22">
    <w:abstractNumId w:val="0"/>
  </w:num>
  <w:num w:numId="23">
    <w:abstractNumId w:val="21"/>
  </w:num>
  <w:num w:numId="24">
    <w:abstractNumId w:val="11"/>
  </w:num>
  <w:num w:numId="25">
    <w:abstractNumId w:val="10"/>
  </w:num>
  <w:num w:numId="26">
    <w:abstractNumId w:val="6"/>
  </w:num>
  <w:num w:numId="27">
    <w:abstractNumId w:val="27"/>
  </w:num>
  <w:num w:numId="28">
    <w:abstractNumId w:val="20"/>
  </w:num>
  <w:num w:numId="29">
    <w:abstractNumId w:val="1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85"/>
    <w:rsid w:val="00001B86"/>
    <w:rsid w:val="0000324D"/>
    <w:rsid w:val="00004BB8"/>
    <w:rsid w:val="00005AD5"/>
    <w:rsid w:val="00007165"/>
    <w:rsid w:val="000156AC"/>
    <w:rsid w:val="00021638"/>
    <w:rsid w:val="00031E42"/>
    <w:rsid w:val="000329D3"/>
    <w:rsid w:val="0003532D"/>
    <w:rsid w:val="00042BB8"/>
    <w:rsid w:val="000431C6"/>
    <w:rsid w:val="00054808"/>
    <w:rsid w:val="00055233"/>
    <w:rsid w:val="000645F3"/>
    <w:rsid w:val="000648BA"/>
    <w:rsid w:val="000729B6"/>
    <w:rsid w:val="00072E31"/>
    <w:rsid w:val="0008393A"/>
    <w:rsid w:val="00095029"/>
    <w:rsid w:val="00096679"/>
    <w:rsid w:val="000B099B"/>
    <w:rsid w:val="000B64F5"/>
    <w:rsid w:val="000C325D"/>
    <w:rsid w:val="000D04A6"/>
    <w:rsid w:val="000D40FE"/>
    <w:rsid w:val="000E4FC8"/>
    <w:rsid w:val="00103331"/>
    <w:rsid w:val="00105CD3"/>
    <w:rsid w:val="00111C48"/>
    <w:rsid w:val="00114C50"/>
    <w:rsid w:val="00123FFB"/>
    <w:rsid w:val="00136528"/>
    <w:rsid w:val="00136786"/>
    <w:rsid w:val="00164FD7"/>
    <w:rsid w:val="00166DB7"/>
    <w:rsid w:val="001859CE"/>
    <w:rsid w:val="001C53AD"/>
    <w:rsid w:val="001D273E"/>
    <w:rsid w:val="001F13CE"/>
    <w:rsid w:val="002041FE"/>
    <w:rsid w:val="002060FD"/>
    <w:rsid w:val="002256F0"/>
    <w:rsid w:val="00226E15"/>
    <w:rsid w:val="002433BA"/>
    <w:rsid w:val="002538E4"/>
    <w:rsid w:val="00261B8C"/>
    <w:rsid w:val="00271C59"/>
    <w:rsid w:val="0027740D"/>
    <w:rsid w:val="0029217B"/>
    <w:rsid w:val="00295338"/>
    <w:rsid w:val="002A35FA"/>
    <w:rsid w:val="002A46C4"/>
    <w:rsid w:val="002B2451"/>
    <w:rsid w:val="002B3CD5"/>
    <w:rsid w:val="002B583E"/>
    <w:rsid w:val="002C0450"/>
    <w:rsid w:val="002C2AFA"/>
    <w:rsid w:val="002C493F"/>
    <w:rsid w:val="002D029D"/>
    <w:rsid w:val="002D72FF"/>
    <w:rsid w:val="002E2D98"/>
    <w:rsid w:val="002F753F"/>
    <w:rsid w:val="002F77B3"/>
    <w:rsid w:val="00307FDE"/>
    <w:rsid w:val="0031219F"/>
    <w:rsid w:val="00316164"/>
    <w:rsid w:val="00337BD1"/>
    <w:rsid w:val="00370A1A"/>
    <w:rsid w:val="003742F6"/>
    <w:rsid w:val="0037674E"/>
    <w:rsid w:val="0037728A"/>
    <w:rsid w:val="00382DEA"/>
    <w:rsid w:val="00384F32"/>
    <w:rsid w:val="003968DC"/>
    <w:rsid w:val="003A4DE2"/>
    <w:rsid w:val="003C6338"/>
    <w:rsid w:val="003E63B3"/>
    <w:rsid w:val="003F005E"/>
    <w:rsid w:val="00414C79"/>
    <w:rsid w:val="004331B8"/>
    <w:rsid w:val="00435CAB"/>
    <w:rsid w:val="004473E7"/>
    <w:rsid w:val="00463C19"/>
    <w:rsid w:val="00473302"/>
    <w:rsid w:val="00481CE1"/>
    <w:rsid w:val="004977E2"/>
    <w:rsid w:val="004F0627"/>
    <w:rsid w:val="004F102C"/>
    <w:rsid w:val="004F33BC"/>
    <w:rsid w:val="004F7D23"/>
    <w:rsid w:val="004F7E5A"/>
    <w:rsid w:val="00507049"/>
    <w:rsid w:val="00516EEF"/>
    <w:rsid w:val="00530692"/>
    <w:rsid w:val="00534555"/>
    <w:rsid w:val="00545B5E"/>
    <w:rsid w:val="0055209C"/>
    <w:rsid w:val="00552CD1"/>
    <w:rsid w:val="00556FE9"/>
    <w:rsid w:val="00560716"/>
    <w:rsid w:val="00561667"/>
    <w:rsid w:val="00564883"/>
    <w:rsid w:val="005664E6"/>
    <w:rsid w:val="00574F3C"/>
    <w:rsid w:val="005757F6"/>
    <w:rsid w:val="005864FA"/>
    <w:rsid w:val="005A15B4"/>
    <w:rsid w:val="005B1FC1"/>
    <w:rsid w:val="005B234B"/>
    <w:rsid w:val="005B631C"/>
    <w:rsid w:val="005C6CF5"/>
    <w:rsid w:val="005C6D32"/>
    <w:rsid w:val="005D57BB"/>
    <w:rsid w:val="00607909"/>
    <w:rsid w:val="006200B0"/>
    <w:rsid w:val="006259FB"/>
    <w:rsid w:val="00627674"/>
    <w:rsid w:val="00627E22"/>
    <w:rsid w:val="00661643"/>
    <w:rsid w:val="00661672"/>
    <w:rsid w:val="00665BE6"/>
    <w:rsid w:val="0067016D"/>
    <w:rsid w:val="006726F3"/>
    <w:rsid w:val="006727F1"/>
    <w:rsid w:val="006773A6"/>
    <w:rsid w:val="00677F31"/>
    <w:rsid w:val="006845DB"/>
    <w:rsid w:val="00691E73"/>
    <w:rsid w:val="006A4A60"/>
    <w:rsid w:val="006A6A45"/>
    <w:rsid w:val="006A7288"/>
    <w:rsid w:val="006B11A2"/>
    <w:rsid w:val="006B356E"/>
    <w:rsid w:val="006D5B67"/>
    <w:rsid w:val="006D5BFB"/>
    <w:rsid w:val="006D5DAA"/>
    <w:rsid w:val="006E3095"/>
    <w:rsid w:val="00707C4C"/>
    <w:rsid w:val="00711FFD"/>
    <w:rsid w:val="00712EBE"/>
    <w:rsid w:val="00715121"/>
    <w:rsid w:val="00726E3E"/>
    <w:rsid w:val="00730F77"/>
    <w:rsid w:val="0073373D"/>
    <w:rsid w:val="007422E6"/>
    <w:rsid w:val="00746E29"/>
    <w:rsid w:val="0076464A"/>
    <w:rsid w:val="007646B8"/>
    <w:rsid w:val="0076692C"/>
    <w:rsid w:val="00770AD9"/>
    <w:rsid w:val="00770F13"/>
    <w:rsid w:val="00774F3B"/>
    <w:rsid w:val="0079639B"/>
    <w:rsid w:val="007A7096"/>
    <w:rsid w:val="007B4BD3"/>
    <w:rsid w:val="007C3985"/>
    <w:rsid w:val="007C43E9"/>
    <w:rsid w:val="007C7859"/>
    <w:rsid w:val="007E1810"/>
    <w:rsid w:val="007E7711"/>
    <w:rsid w:val="007F2109"/>
    <w:rsid w:val="00805552"/>
    <w:rsid w:val="00810394"/>
    <w:rsid w:val="00820CF4"/>
    <w:rsid w:val="00821D6F"/>
    <w:rsid w:val="00831F15"/>
    <w:rsid w:val="00844039"/>
    <w:rsid w:val="008568F8"/>
    <w:rsid w:val="0085727A"/>
    <w:rsid w:val="00864AD3"/>
    <w:rsid w:val="00865A89"/>
    <w:rsid w:val="00880E63"/>
    <w:rsid w:val="00881EEA"/>
    <w:rsid w:val="00882294"/>
    <w:rsid w:val="00884BB5"/>
    <w:rsid w:val="008856E9"/>
    <w:rsid w:val="00885C45"/>
    <w:rsid w:val="008861E7"/>
    <w:rsid w:val="00892DE5"/>
    <w:rsid w:val="00896FF1"/>
    <w:rsid w:val="008A161A"/>
    <w:rsid w:val="008A554B"/>
    <w:rsid w:val="008B0BB4"/>
    <w:rsid w:val="008B59D8"/>
    <w:rsid w:val="008C4E87"/>
    <w:rsid w:val="008C4F97"/>
    <w:rsid w:val="008D538D"/>
    <w:rsid w:val="008E0C8F"/>
    <w:rsid w:val="008E5C29"/>
    <w:rsid w:val="008F1FA6"/>
    <w:rsid w:val="008F3285"/>
    <w:rsid w:val="008F3602"/>
    <w:rsid w:val="008F4026"/>
    <w:rsid w:val="008F5C4B"/>
    <w:rsid w:val="00900BA3"/>
    <w:rsid w:val="009050F9"/>
    <w:rsid w:val="00923F06"/>
    <w:rsid w:val="00935DEA"/>
    <w:rsid w:val="00942CC7"/>
    <w:rsid w:val="009434A6"/>
    <w:rsid w:val="00955DA1"/>
    <w:rsid w:val="009613D2"/>
    <w:rsid w:val="009673D0"/>
    <w:rsid w:val="0098463E"/>
    <w:rsid w:val="009870FF"/>
    <w:rsid w:val="00987B3B"/>
    <w:rsid w:val="00993D55"/>
    <w:rsid w:val="00995D7E"/>
    <w:rsid w:val="009A0EF1"/>
    <w:rsid w:val="009B4CFE"/>
    <w:rsid w:val="009B5C23"/>
    <w:rsid w:val="009C664A"/>
    <w:rsid w:val="009E041D"/>
    <w:rsid w:val="009E5446"/>
    <w:rsid w:val="009E6C40"/>
    <w:rsid w:val="00A12080"/>
    <w:rsid w:val="00A1698C"/>
    <w:rsid w:val="00A434E9"/>
    <w:rsid w:val="00A47927"/>
    <w:rsid w:val="00A47D94"/>
    <w:rsid w:val="00A564B5"/>
    <w:rsid w:val="00A73FDE"/>
    <w:rsid w:val="00A808D8"/>
    <w:rsid w:val="00A940F5"/>
    <w:rsid w:val="00AA487B"/>
    <w:rsid w:val="00AA5AEF"/>
    <w:rsid w:val="00AC1C8E"/>
    <w:rsid w:val="00AC1E68"/>
    <w:rsid w:val="00AF0A4B"/>
    <w:rsid w:val="00AF174E"/>
    <w:rsid w:val="00AF6A0C"/>
    <w:rsid w:val="00AF7569"/>
    <w:rsid w:val="00B2757A"/>
    <w:rsid w:val="00B30645"/>
    <w:rsid w:val="00B344F1"/>
    <w:rsid w:val="00B34C15"/>
    <w:rsid w:val="00B414CA"/>
    <w:rsid w:val="00B73EF0"/>
    <w:rsid w:val="00B7485A"/>
    <w:rsid w:val="00B83C06"/>
    <w:rsid w:val="00B904D4"/>
    <w:rsid w:val="00B91F03"/>
    <w:rsid w:val="00BA34D1"/>
    <w:rsid w:val="00BA5258"/>
    <w:rsid w:val="00BA6B44"/>
    <w:rsid w:val="00BA7622"/>
    <w:rsid w:val="00BC4458"/>
    <w:rsid w:val="00BC4A35"/>
    <w:rsid w:val="00BD1140"/>
    <w:rsid w:val="00BD3829"/>
    <w:rsid w:val="00BD645D"/>
    <w:rsid w:val="00BD74ED"/>
    <w:rsid w:val="00BE0309"/>
    <w:rsid w:val="00BE5695"/>
    <w:rsid w:val="00BE6D63"/>
    <w:rsid w:val="00BF1A76"/>
    <w:rsid w:val="00BF7459"/>
    <w:rsid w:val="00BF76DF"/>
    <w:rsid w:val="00C013D1"/>
    <w:rsid w:val="00C02E6C"/>
    <w:rsid w:val="00C109F8"/>
    <w:rsid w:val="00C12319"/>
    <w:rsid w:val="00C13EE1"/>
    <w:rsid w:val="00C259D8"/>
    <w:rsid w:val="00C26AD8"/>
    <w:rsid w:val="00C53D2D"/>
    <w:rsid w:val="00C56C82"/>
    <w:rsid w:val="00C601B2"/>
    <w:rsid w:val="00C613CE"/>
    <w:rsid w:val="00C62C27"/>
    <w:rsid w:val="00C64417"/>
    <w:rsid w:val="00C758FC"/>
    <w:rsid w:val="00C81714"/>
    <w:rsid w:val="00C877E2"/>
    <w:rsid w:val="00C93484"/>
    <w:rsid w:val="00C93FD9"/>
    <w:rsid w:val="00CB2180"/>
    <w:rsid w:val="00CB3493"/>
    <w:rsid w:val="00CB698C"/>
    <w:rsid w:val="00CC7B04"/>
    <w:rsid w:val="00CD5AD4"/>
    <w:rsid w:val="00CD7F06"/>
    <w:rsid w:val="00CE0E57"/>
    <w:rsid w:val="00CF35B2"/>
    <w:rsid w:val="00CF4FBC"/>
    <w:rsid w:val="00D05312"/>
    <w:rsid w:val="00D35881"/>
    <w:rsid w:val="00D6338A"/>
    <w:rsid w:val="00D7766E"/>
    <w:rsid w:val="00D77FED"/>
    <w:rsid w:val="00D8122C"/>
    <w:rsid w:val="00D869D2"/>
    <w:rsid w:val="00D86B15"/>
    <w:rsid w:val="00D968D9"/>
    <w:rsid w:val="00DA5248"/>
    <w:rsid w:val="00DE7508"/>
    <w:rsid w:val="00E0215A"/>
    <w:rsid w:val="00E108CA"/>
    <w:rsid w:val="00E42C68"/>
    <w:rsid w:val="00E45EEE"/>
    <w:rsid w:val="00E5305B"/>
    <w:rsid w:val="00E540D1"/>
    <w:rsid w:val="00E56538"/>
    <w:rsid w:val="00E76F9C"/>
    <w:rsid w:val="00E8455F"/>
    <w:rsid w:val="00E85C61"/>
    <w:rsid w:val="00E94F3D"/>
    <w:rsid w:val="00E97B03"/>
    <w:rsid w:val="00EA19D9"/>
    <w:rsid w:val="00EA483E"/>
    <w:rsid w:val="00EA5238"/>
    <w:rsid w:val="00EA6F9F"/>
    <w:rsid w:val="00EA739D"/>
    <w:rsid w:val="00EC37A6"/>
    <w:rsid w:val="00EC73E8"/>
    <w:rsid w:val="00ED144C"/>
    <w:rsid w:val="00EE4992"/>
    <w:rsid w:val="00EF2486"/>
    <w:rsid w:val="00EF29C9"/>
    <w:rsid w:val="00F1478D"/>
    <w:rsid w:val="00F276EB"/>
    <w:rsid w:val="00F30233"/>
    <w:rsid w:val="00F32DB2"/>
    <w:rsid w:val="00F43EEF"/>
    <w:rsid w:val="00F44218"/>
    <w:rsid w:val="00F560E3"/>
    <w:rsid w:val="00F70E06"/>
    <w:rsid w:val="00F76DF9"/>
    <w:rsid w:val="00F76EE2"/>
    <w:rsid w:val="00F820AF"/>
    <w:rsid w:val="00F9077C"/>
    <w:rsid w:val="00F97B61"/>
    <w:rsid w:val="00FA6D36"/>
    <w:rsid w:val="00FA7924"/>
    <w:rsid w:val="00FB19BC"/>
    <w:rsid w:val="00FC09BC"/>
    <w:rsid w:val="00FD4143"/>
    <w:rsid w:val="00FE1946"/>
    <w:rsid w:val="00FE5FB5"/>
    <w:rsid w:val="00FE6C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C59F"/>
  <w15:docId w15:val="{B0A08918-CE75-4D22-A8C4-24C5086B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uiPriority w:val="9"/>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CommentText">
    <w:name w:val="annotation text"/>
    <w:basedOn w:val="Normal"/>
    <w:link w:val="CommentTextChar"/>
    <w:unhideWhenUsed/>
    <w:qFormat/>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nhideWhenUsed/>
    <w:qFormat/>
    <w:rPr>
      <w:sz w:val="16"/>
      <w:szCs w:val="16"/>
    </w:rPr>
  </w:style>
  <w:style w:type="paragraph" w:styleId="BalloonText">
    <w:name w:val="Balloon Text"/>
    <w:basedOn w:val="Normal"/>
    <w:link w:val="BalloonTextChar"/>
    <w:uiPriority w:val="99"/>
    <w:semiHidden/>
    <w:unhideWhenUsed/>
    <w:qFormat/>
    <w:rsid w:val="008F3602"/>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8F3602"/>
    <w:rPr>
      <w:rFonts w:ascii="Segoe UI" w:hAnsi="Segoe UI" w:cs="Segoe UI"/>
      <w:sz w:val="18"/>
      <w:szCs w:val="18"/>
    </w:rPr>
  </w:style>
  <w:style w:type="paragraph" w:styleId="NormalWeb">
    <w:name w:val="Normal (Web)"/>
    <w:aliases w:val="Знак,webb, Знак"/>
    <w:basedOn w:val="Normal"/>
    <w:link w:val="NormalWebChar"/>
    <w:uiPriority w:val="99"/>
    <w:unhideWhenUsed/>
    <w:qFormat/>
    <w:rsid w:val="006A6A45"/>
    <w:pPr>
      <w:spacing w:before="100" w:beforeAutospacing="1" w:after="100" w:afterAutospacing="1"/>
    </w:pPr>
    <w:rPr>
      <w:lang w:val="en-US"/>
    </w:rPr>
  </w:style>
  <w:style w:type="paragraph" w:styleId="CommentSubject">
    <w:name w:val="annotation subject"/>
    <w:basedOn w:val="CommentText"/>
    <w:next w:val="CommentText"/>
    <w:link w:val="CommentSubjectChar"/>
    <w:uiPriority w:val="99"/>
    <w:semiHidden/>
    <w:unhideWhenUsed/>
    <w:rsid w:val="00D35881"/>
    <w:rPr>
      <w:b/>
      <w:bCs/>
    </w:rPr>
  </w:style>
  <w:style w:type="character" w:customStyle="1" w:styleId="CommentSubjectChar">
    <w:name w:val="Comment Subject Char"/>
    <w:basedOn w:val="CommentTextChar"/>
    <w:link w:val="CommentSubject"/>
    <w:uiPriority w:val="99"/>
    <w:semiHidden/>
    <w:rsid w:val="00D35881"/>
    <w:rPr>
      <w:b/>
      <w:bCs/>
      <w:sz w:val="20"/>
      <w:szCs w:val="20"/>
    </w:rPr>
  </w:style>
  <w:style w:type="character" w:customStyle="1" w:styleId="NormalWebChar">
    <w:name w:val="Normal (Web) Char"/>
    <w:aliases w:val="Знак Char,webb Char, Знак Char"/>
    <w:link w:val="NormalWeb"/>
    <w:uiPriority w:val="99"/>
    <w:rsid w:val="0037728A"/>
    <w:rPr>
      <w:lang w:val="en-US"/>
    </w:rPr>
  </w:style>
  <w:style w:type="paragraph" w:styleId="Revision">
    <w:name w:val="Revision"/>
    <w:hidden/>
    <w:uiPriority w:val="99"/>
    <w:semiHidden/>
    <w:rsid w:val="0027740D"/>
  </w:style>
  <w:style w:type="paragraph" w:customStyle="1" w:styleId="cn">
    <w:name w:val="cn"/>
    <w:basedOn w:val="Normal"/>
    <w:uiPriority w:val="99"/>
    <w:semiHidden/>
    <w:rsid w:val="000B099B"/>
    <w:pPr>
      <w:jc w:val="center"/>
    </w:pPr>
    <w:rPr>
      <w:rFonts w:eastAsiaTheme="minorEastAsia"/>
      <w:lang w:val="en-US"/>
    </w:rPr>
  </w:style>
  <w:style w:type="paragraph" w:styleId="ListParagraph">
    <w:name w:val="List Paragraph"/>
    <w:aliases w:val="Bullet Points,Liste Paragraf,Normal bullet 2,body 2,List Paragraph1,List Paragraph2,Scriptoria bullet points,Ha,References,Indent Paragraph,Heading1,Bullet Styles para,List Paragraph (numbered (a)),Párrafo de lista,Bullet,Numbered Para 1"/>
    <w:basedOn w:val="Normal"/>
    <w:link w:val="ListParagraphChar"/>
    <w:uiPriority w:val="34"/>
    <w:qFormat/>
    <w:rsid w:val="00B34C15"/>
    <w:pPr>
      <w:spacing w:after="160" w:line="252" w:lineRule="auto"/>
      <w:ind w:left="720"/>
      <w:contextualSpacing/>
      <w:jc w:val="both"/>
    </w:pPr>
    <w:rPr>
      <w:rFonts w:asciiTheme="minorHAnsi" w:eastAsiaTheme="minorEastAsia" w:hAnsiTheme="minorHAnsi" w:cstheme="minorBidi"/>
      <w:sz w:val="22"/>
      <w:szCs w:val="22"/>
      <w:lang w:val="en-US"/>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Heading1 Char,Bullet Styles para Char"/>
    <w:basedOn w:val="DefaultParagraphFont"/>
    <w:link w:val="ListParagraph"/>
    <w:uiPriority w:val="34"/>
    <w:qFormat/>
    <w:rsid w:val="00B34C15"/>
    <w:rPr>
      <w:rFonts w:asciiTheme="minorHAnsi" w:eastAsiaTheme="minorEastAsia" w:hAnsiTheme="minorHAnsi" w:cstheme="minorBidi"/>
      <w:sz w:val="22"/>
      <w:szCs w:val="22"/>
      <w:lang w:val="en-US"/>
    </w:rPr>
  </w:style>
  <w:style w:type="character" w:styleId="Emphasis">
    <w:name w:val="Emphasis"/>
    <w:basedOn w:val="DefaultParagraphFont"/>
    <w:uiPriority w:val="20"/>
    <w:qFormat/>
    <w:rsid w:val="00F820AF"/>
    <w:rPr>
      <w:i/>
      <w:iCs/>
    </w:rPr>
  </w:style>
  <w:style w:type="character" w:styleId="Hyperlink">
    <w:name w:val="Hyperlink"/>
    <w:basedOn w:val="DefaultParagraphFont"/>
    <w:uiPriority w:val="99"/>
    <w:unhideWhenUsed/>
    <w:qFormat/>
    <w:rsid w:val="00F820AF"/>
    <w:rPr>
      <w:color w:val="0000FF" w:themeColor="hyperlink"/>
      <w:u w:val="single"/>
    </w:rPr>
  </w:style>
  <w:style w:type="character" w:styleId="Strong">
    <w:name w:val="Strong"/>
    <w:basedOn w:val="DefaultParagraphFont"/>
    <w:uiPriority w:val="22"/>
    <w:qFormat/>
    <w:rsid w:val="00F820AF"/>
    <w:rPr>
      <w:b/>
      <w:bCs/>
    </w:rPr>
  </w:style>
  <w:style w:type="paragraph" w:styleId="Header">
    <w:name w:val="header"/>
    <w:basedOn w:val="Normal"/>
    <w:link w:val="HeaderChar"/>
    <w:uiPriority w:val="99"/>
    <w:unhideWhenUsed/>
    <w:qFormat/>
    <w:rsid w:val="00F820AF"/>
    <w:pPr>
      <w:tabs>
        <w:tab w:val="center" w:pos="4680"/>
        <w:tab w:val="right" w:pos="9360"/>
      </w:tabs>
    </w:pPr>
    <w:rPr>
      <w:rFonts w:eastAsia="SimSun"/>
      <w:sz w:val="28"/>
      <w:szCs w:val="22"/>
      <w:lang w:val="ru-RU"/>
    </w:rPr>
  </w:style>
  <w:style w:type="character" w:customStyle="1" w:styleId="HeaderChar">
    <w:name w:val="Header Char"/>
    <w:basedOn w:val="DefaultParagraphFont"/>
    <w:link w:val="Header"/>
    <w:uiPriority w:val="99"/>
    <w:qFormat/>
    <w:rsid w:val="00F820AF"/>
    <w:rPr>
      <w:rFonts w:eastAsia="SimSun"/>
      <w:sz w:val="28"/>
      <w:szCs w:val="22"/>
      <w:lang w:val="ru-RU"/>
    </w:rPr>
  </w:style>
  <w:style w:type="paragraph" w:styleId="Footer">
    <w:name w:val="footer"/>
    <w:basedOn w:val="Normal"/>
    <w:link w:val="FooterChar"/>
    <w:uiPriority w:val="99"/>
    <w:unhideWhenUsed/>
    <w:qFormat/>
    <w:rsid w:val="00F820AF"/>
    <w:pPr>
      <w:tabs>
        <w:tab w:val="center" w:pos="4680"/>
        <w:tab w:val="right" w:pos="9360"/>
      </w:tabs>
    </w:pPr>
    <w:rPr>
      <w:rFonts w:eastAsia="SimSun"/>
      <w:sz w:val="28"/>
      <w:szCs w:val="22"/>
      <w:lang w:val="ru-RU"/>
    </w:rPr>
  </w:style>
  <w:style w:type="character" w:customStyle="1" w:styleId="FooterChar">
    <w:name w:val="Footer Char"/>
    <w:basedOn w:val="DefaultParagraphFont"/>
    <w:link w:val="Footer"/>
    <w:uiPriority w:val="99"/>
    <w:qFormat/>
    <w:rsid w:val="00F820AF"/>
    <w:rPr>
      <w:rFonts w:eastAsia="SimSun"/>
      <w:sz w:val="28"/>
      <w:szCs w:val="22"/>
      <w:lang w:val="ru-RU"/>
    </w:rPr>
  </w:style>
  <w:style w:type="paragraph" w:customStyle="1" w:styleId="Revizuire1">
    <w:name w:val="Revizuire1"/>
    <w:hidden/>
    <w:uiPriority w:val="99"/>
    <w:semiHidden/>
    <w:qFormat/>
    <w:rsid w:val="00F820AF"/>
    <w:rPr>
      <w:rFonts w:eastAsia="SimSun"/>
      <w:sz w:val="28"/>
      <w:szCs w:val="22"/>
      <w:lang w:val="ru-RU"/>
    </w:rPr>
  </w:style>
  <w:style w:type="character" w:customStyle="1" w:styleId="MeniuneNerezolvat1">
    <w:name w:val="Mențiune Nerezolvat1"/>
    <w:basedOn w:val="DefaultParagraphFont"/>
    <w:uiPriority w:val="99"/>
    <w:semiHidden/>
    <w:unhideWhenUsed/>
    <w:qFormat/>
    <w:rsid w:val="00F820AF"/>
    <w:rPr>
      <w:color w:val="605E5C"/>
      <w:shd w:val="clear" w:color="auto" w:fill="E1DFDD"/>
    </w:rPr>
  </w:style>
  <w:style w:type="paragraph" w:customStyle="1" w:styleId="Revizuire2">
    <w:name w:val="Revizuire2"/>
    <w:hidden/>
    <w:uiPriority w:val="99"/>
    <w:semiHidden/>
    <w:qFormat/>
    <w:rsid w:val="00F820AF"/>
    <w:rPr>
      <w:rFonts w:eastAsia="SimSun"/>
      <w:sz w:val="28"/>
      <w:szCs w:val="22"/>
      <w:lang w:val="ru-RU"/>
    </w:rPr>
  </w:style>
  <w:style w:type="paragraph" w:customStyle="1" w:styleId="tt">
    <w:name w:val="tt"/>
    <w:basedOn w:val="Normal"/>
    <w:qFormat/>
    <w:rsid w:val="00F820AF"/>
    <w:pPr>
      <w:spacing w:after="160"/>
      <w:jc w:val="center"/>
    </w:pPr>
    <w:rPr>
      <w:rFonts w:eastAsia="SimSun"/>
      <w:b/>
      <w:bCs/>
      <w:lang w:val="ru-RU" w:eastAsia="ru-RU"/>
    </w:rPr>
  </w:style>
  <w:style w:type="paragraph" w:styleId="HTMLPreformatted">
    <w:name w:val="HTML Preformatted"/>
    <w:basedOn w:val="Normal"/>
    <w:link w:val="HTMLPreformattedChar"/>
    <w:uiPriority w:val="99"/>
    <w:unhideWhenUsed/>
    <w:rsid w:val="001D2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1D273E"/>
    <w:rPr>
      <w:rFonts w:ascii="Courier New" w:hAnsi="Courier New" w:cs="Courier New"/>
      <w:sz w:val="20"/>
      <w:szCs w:val="20"/>
      <w:lang w:val="en-US"/>
    </w:rPr>
  </w:style>
  <w:style w:type="character" w:customStyle="1" w:styleId="y2iqfc">
    <w:name w:val="y2iqfc"/>
    <w:basedOn w:val="DefaultParagraphFont"/>
    <w:rsid w:val="001D2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01274">
      <w:bodyDiv w:val="1"/>
      <w:marLeft w:val="0"/>
      <w:marRight w:val="0"/>
      <w:marTop w:val="0"/>
      <w:marBottom w:val="0"/>
      <w:divBdr>
        <w:top w:val="none" w:sz="0" w:space="0" w:color="auto"/>
        <w:left w:val="none" w:sz="0" w:space="0" w:color="auto"/>
        <w:bottom w:val="none" w:sz="0" w:space="0" w:color="auto"/>
        <w:right w:val="none" w:sz="0" w:space="0" w:color="auto"/>
      </w:divBdr>
    </w:div>
    <w:div w:id="1173372202">
      <w:bodyDiv w:val="1"/>
      <w:marLeft w:val="0"/>
      <w:marRight w:val="0"/>
      <w:marTop w:val="0"/>
      <w:marBottom w:val="0"/>
      <w:divBdr>
        <w:top w:val="none" w:sz="0" w:space="0" w:color="auto"/>
        <w:left w:val="none" w:sz="0" w:space="0" w:color="auto"/>
        <w:bottom w:val="none" w:sz="0" w:space="0" w:color="auto"/>
        <w:right w:val="none" w:sz="0" w:space="0" w:color="auto"/>
      </w:divBdr>
    </w:div>
    <w:div w:id="1620529993">
      <w:bodyDiv w:val="1"/>
      <w:marLeft w:val="0"/>
      <w:marRight w:val="0"/>
      <w:marTop w:val="0"/>
      <w:marBottom w:val="0"/>
      <w:divBdr>
        <w:top w:val="none" w:sz="0" w:space="0" w:color="auto"/>
        <w:left w:val="none" w:sz="0" w:space="0" w:color="auto"/>
        <w:bottom w:val="none" w:sz="0" w:space="0" w:color="auto"/>
        <w:right w:val="none" w:sz="0" w:space="0" w:color="auto"/>
      </w:divBdr>
    </w:div>
    <w:div w:id="1761682322">
      <w:bodyDiv w:val="1"/>
      <w:marLeft w:val="0"/>
      <w:marRight w:val="0"/>
      <w:marTop w:val="0"/>
      <w:marBottom w:val="0"/>
      <w:divBdr>
        <w:top w:val="none" w:sz="0" w:space="0" w:color="auto"/>
        <w:left w:val="none" w:sz="0" w:space="0" w:color="auto"/>
        <w:bottom w:val="none" w:sz="0" w:space="0" w:color="auto"/>
        <w:right w:val="none" w:sz="0" w:space="0" w:color="auto"/>
      </w:divBdr>
    </w:div>
    <w:div w:id="2110199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82FDA-5A48-497E-91AF-B1693923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2</Pages>
  <Words>953</Words>
  <Characters>5433</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Ilescu</dc:creator>
  <cp:lastModifiedBy>Elena Indries</cp:lastModifiedBy>
  <cp:revision>20</cp:revision>
  <dcterms:created xsi:type="dcterms:W3CDTF">2025-10-15T08:38:00Z</dcterms:created>
  <dcterms:modified xsi:type="dcterms:W3CDTF">2025-10-24T05:32:00Z</dcterms:modified>
</cp:coreProperties>
</file>